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Customer Service Shift Analysis</w:t>
      </w:r>
    </w:p>
    <w:p/>
    <w:p>
      <w:pPr>
        <w:pStyle w:val="Heading2"/>
      </w:pPr>
      <w:r>
        <w:t>Introduction</w:t>
      </w:r>
    </w:p>
    <w:p/>
    <w:p>
      <w:r>
        <w:t>As MediConn Solutions continues to grow, understanding the structure and efficiency of our customer service shifts becomes crucial. This report provides an in-depth analysis of the current shift structure, along with associated metrics and potential improvements. Our objective is to optimize service delivery, enhance patient experience, and improve employee satisfaction.</w:t>
      </w:r>
    </w:p>
    <w:p/>
    <w:p>
      <w:pPr>
        <w:pStyle w:val="Heading2"/>
      </w:pPr>
      <w:r>
        <w:t>Shift Structuring and Employee Allocation</w:t>
      </w:r>
    </w:p>
    <w:p/>
    <w:p>
      <w:r>
        <w:t>MediConn Solutions has always prioritized efficient resource allocation. Historically, we found that a 1:80 ratio of customer service representatives to patients worked well. In 2023, however, we increased this to a 1:100 ratio due to improved digital tools and training programs that enabled our representatives to handle more patients simultaneously.</w:t>
      </w:r>
    </w:p>
    <w:p/>
    <w:p>
      <w:pPr>
        <w:pStyle w:val="Heading2"/>
      </w:pPr>
      <w:r>
        <w:t>Performance Metrics and Customer Satisfaction</w:t>
      </w:r>
    </w:p>
    <w:p/>
    <w:p>
      <w:r>
        <w:t>Our customer satisfaction scores have consistently been above 90% for the past three years. We attribute this to our continuous efforts to improve our digital platforms, which have reduced average call waiting times by 25% since 2022. Our focus is on maintaining the high standards of service that our customers have come to expect from MediConn Solutions.</w:t>
      </w:r>
    </w:p>
    <w:p/>
    <w:p>
      <w:pPr>
        <w:pStyle w:val="Heading2"/>
      </w:pPr>
      <w:r>
        <w:t>Potential Enhancements to Current Shift Structure</w:t>
      </w:r>
    </w:p>
    <w:p/>
    <w:p>
      <w:r>
        <w:t>We're exploring new shift structuring models to optimize our operations, such as split shifts or extended service hours. A pilot program is planned for Q2 2025, focusing on testing these new models in select regions. The results will inform our strategies moving forward.</w:t>
      </w:r>
    </w:p>
    <w:p/>
    <w:p>
      <w:pPr>
        <w:pStyle w:val="Heading2"/>
      </w:pPr>
      <w:r>
        <w:t>Conclusion</w:t>
      </w:r>
    </w:p>
    <w:p/>
    <w:p>
      <w:r>
        <w:t>The current shift structure has been analyzed, with key performance metrics evaluated. While it has served us well thus far, there are potential enhancements that could improve both customer satisfaction and employee morale. These proposed changes, detailed in the final section, should be given due consideration for future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