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2025: Customer Service Assessment</w:t>
      </w:r>
    </w:p>
    <w:p/>
    <w:p>
      <w:pPr>
        <w:pStyle w:val="Heading2"/>
      </w:pPr>
      <w:r>
        <w:t>Introduction</w:t>
      </w:r>
    </w:p>
    <w:p/>
    <w:p>
      <w:r>
        <w:t>As part of our commitment to maintaining a high standard of service, we've taken an in-depth look at our non-billing related customer complaints for Q3 2025. This report aims to identify the areas of concern that have been most frequently raised by our customers. By addressing these issues proactively, we can continue to improve our service and uphold our reputation as a leading provider of virtual healthcare services.</w:t>
      </w:r>
    </w:p>
    <w:p/>
    <w:p>
      <w:pPr>
        <w:pStyle w:val="Heading2"/>
      </w:pPr>
      <w:r>
        <w:t>Analysis of Customer Interaction Channels</w:t>
      </w:r>
    </w:p>
    <w:p/>
    <w:p>
      <w:r>
        <w:t>In Q3 2025, MediConn Solutions saw a significant increase in utilization of our live chat feature, with a 35% rise in interactions compared to Q2. Additionally, there was a 20% decrease in email correspondence, highlighting a shift in customer preferences towards more immediate forms of communication. Our telephone helpline maintained a steady usage, with a slight increase of 5%.</w:t>
      </w:r>
    </w:p>
    <w:p/>
    <w:p>
      <w:pPr>
        <w:pStyle w:val="Heading2"/>
      </w:pPr>
      <w:r>
        <w:t>Detailed Breakdown of Non-Billing Complaints</w:t>
      </w:r>
    </w:p>
    <w:p/>
    <w:p>
      <w:r>
        <w:t>In 2024, the most common non-billing complaints were related to the mobile application's user interface (15%), issues with doctor availability (20%), and appointment cancellations (18%). We have made substantial improvements since then, including a mobile app redesign, increasing the number of healthcare professionals, and implementing a more flexible appointment policy.</w:t>
      </w:r>
    </w:p>
    <w:p/>
    <w:p>
      <w:pPr>
        <w:pStyle w:val="Heading2"/>
      </w:pPr>
      <w:r>
        <w:t>Customer Satisfaction and Retention Strategies</w:t>
      </w:r>
    </w:p>
    <w:p/>
    <w:p>
      <w:r>
        <w:t>Moving forward, we are planning to introduce a customer loyalty program which will offer benefits for regular usage of our services. This program, set to launch in Q1 2026, is expected to improve customer satisfaction rates by 15% and reduce customer churn by 10%. The program will include features such as priority booking and discounted rates for frequent users.</w:t>
      </w:r>
    </w:p>
    <w:p/>
    <w:p>
      <w:pPr>
        <w:pStyle w:val="Heading2"/>
      </w:pPr>
      <w:r>
        <w:t>Conclusion</w:t>
      </w:r>
    </w:p>
    <w:p/>
    <w:p>
      <w:r>
        <w:t>In conclusion, the data gathered in Q3 2025 provides us with valuable insights into areas where our service could be improved. By addressing these non-billing related complaints, we can enhance customer satisfaction and reinforce loyalty. Moving forward, we will consider these findings in our ongoing efforts to improve and refine our service delivery. We remain committed to providing an exceptional virtual healthcare experience to all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