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Q3 2025 Customer Service Analysis Report</w:t>
      </w:r>
    </w:p>
    <w:p/>
    <w:p>
      <w:pPr>
        <w:pStyle w:val="Heading2"/>
      </w:pPr>
      <w:r>
        <w:t>Introduction</w:t>
      </w:r>
    </w:p>
    <w:p/>
    <w:p>
      <w:r>
        <w:t>This report provides an in-depth analysis of the customer service interactions during Q3 2025 at MediConn Solutions. It focuses on the types of inquiries we received, the resolution pathways, and instances where escalation to supervisors or management was required. The data and insights gathered will inform our customer service strategies and help optimize our operations.</w:t>
      </w:r>
    </w:p>
    <w:p/>
    <w:p>
      <w:pPr>
        <w:pStyle w:val="Heading2"/>
      </w:pPr>
      <w:r>
        <w:t>Overview of Q3 Customer Inquiries</w:t>
      </w:r>
    </w:p>
    <w:p/>
    <w:p>
      <w:r>
        <w:t>In Q3 2025, MediConn Solutions handled approximately 45,000 customer inquiries, primarily from individuals seeking assistance with our digital healthcare services. A significant number of these inquiries were related to technical difficulties with our virtual healthcare platform, while others had questions about our healthcare providers. Our customer service team managed to resolve the majority of these issues through our first-tier support.</w:t>
      </w:r>
    </w:p>
    <w:p/>
    <w:p>
      <w:pPr>
        <w:pStyle w:val="Heading2"/>
      </w:pPr>
      <w:r>
        <w:t>Breakdown of Resolution Pathways</w:t>
      </w:r>
    </w:p>
    <w:p/>
    <w:p>
      <w:r>
        <w:t>MediConn Solutions utilizes several resolution pathways to effectively manage customer inquiries. Initial complaints or inquiries are handled by our first-level customer service representatives, who are equipped to deal with a wide range of issues. If they cannot resolve the issue, it is escalated to second-level support or specialized departments.</w:t>
      </w:r>
    </w:p>
    <w:p/>
    <w:p>
      <w:pPr>
        <w:pStyle w:val="Heading2"/>
      </w:pPr>
      <w:r>
        <w:t>Analysis of Supervisor Escalations</w:t>
      </w:r>
    </w:p>
    <w:p/>
    <w:p>
      <w:r>
        <w:t>The role of supervisors and management in handling escalated customer inquiries is critical. They are responsible for resolving complex issues that exceed the capabilities of our first-level representatives. This allows us to maintain a high level of customer satisfaction and ensures complex issues are adequately addressed.</w:t>
      </w:r>
    </w:p>
    <w:p/>
    <w:p>
      <w:pPr>
        <w:pStyle w:val="Heading2"/>
      </w:pPr>
      <w:r>
        <w:t>Conclusion</w:t>
      </w:r>
    </w:p>
    <w:p/>
    <w:p>
      <w:r>
        <w:t>The insights from Q3 2025 show a pressing need to address the number of inquiries escalated to our supervisors or management. We recommend augmenting our customer service training and refining our escalation process to ensure quicker response times and greater customer satisfaction. Continued evaluation of our customer service interactions will be instrumental in providing high-quality virtual healthcare services.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