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2024: Customer Service Performance Analysis</w:t>
      </w:r>
    </w:p>
    <w:p/>
    <w:p>
      <w:pPr>
        <w:pStyle w:val="Heading2"/>
      </w:pPr>
      <w:r>
        <w:t>Introduction</w:t>
      </w:r>
    </w:p>
    <w:p/>
    <w:p>
      <w:r>
        <w:t>As part of our ongoing commitment to provide exceptional virtual healthcare services, this report delves into our customer service performance for Q4 2024. It aims to evaluate our response times, measure them against industry standards, and compare with our direct competitors. The insights derived from this analysis will assist us in identifying areas for improvement and reinforcing our customer-centric strategy.</w:t>
      </w:r>
    </w:p>
    <w:p/>
    <w:p>
      <w:pPr>
        <w:pStyle w:val="Heading2"/>
      </w:pPr>
      <w:r>
        <w:t>MediConn's Q4 2024 Customer Service Response Metrics</w:t>
      </w:r>
    </w:p>
    <w:p/>
    <w:p>
      <w:r>
        <w:t>In Q4 2024, MediConn's Customer Service Department introduced an advanced AI chatbot to assist with initial customer queries. This implementation resulted in a decrease of 15% in overall call volume. Additionally, 30% of all customer queries were completely resolved by the chatbot without the need for human intervention.</w:t>
      </w:r>
    </w:p>
    <w:p/>
    <w:p>
      <w:pPr>
        <w:pStyle w:val="Heading2"/>
      </w:pPr>
      <w:r>
        <w:t>Industry Standards for Customer Service Response Times</w:t>
      </w:r>
    </w:p>
    <w:p/>
    <w:p>
      <w:r>
        <w:t>Throughout 2024, the healthcare industry witnessed a significant shift in customer service standards. There was an increased emphasis on proactive customer service, with companies increasingly reaching out to customers before issues arose. As a result, customer satisfaction rates across the industry improved by 20%.</w:t>
      </w:r>
    </w:p>
    <w:p/>
    <w:p>
      <w:pPr>
        <w:pStyle w:val="Heading2"/>
      </w:pPr>
      <w:r>
        <w:t>Competitors' Q4 2024 Customer Service Performance</w:t>
      </w:r>
    </w:p>
    <w:p/>
    <w:p>
      <w:r>
        <w:t>In Q4 2024, MediConn's competitors invested heavily in customer service training, aiming to improve overall service quality. Their emphasis was on empathy and communication skills, rather than speed of response. These initiatives led to an increase in customer loyalty and reduced customer churn rates.</w:t>
      </w:r>
    </w:p>
    <w:p/>
    <w:p>
      <w:pPr>
        <w:pStyle w:val="Heading2"/>
      </w:pPr>
      <w:r>
        <w:t>Conclusion</w:t>
      </w:r>
    </w:p>
    <w:p/>
    <w:p>
      <w:r>
        <w:t>Our analysis reveals critical insights into our customer service response times vis-à-vis industry standards and competitors. While we strive to maintain a high standard, it is evident that there are areas requiring further improvement. By focusing on these identified areas, we can enhance our service quality, reduce response times, and ultimately, provide a superior virtual healthcare experience. Let us take these insights and work towards a more robust and efficient customer service strategy.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