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Patient Communication for Q1 2025</w:t>
      </w:r>
    </w:p>
    <w:p/>
    <w:p>
      <w:pPr>
        <w:pStyle w:val="Heading2"/>
      </w:pPr>
      <w:r>
        <w:t>Introduction</w:t>
      </w:r>
    </w:p>
    <w:p/>
    <w:p>
      <w:r>
        <w:t>As MediConn Solutions continues to grow in the virtual healthcare industry, optimizing our patient communication is paramount. This involves identifying areas for improvement and implementing effective strategies to reduce service calls. This document outlines our plan to enhance patient communication for Q1 2025.</w:t>
      </w:r>
    </w:p>
    <w:p/>
    <w:p>
      <w:pPr>
        <w:pStyle w:val="Heading2"/>
      </w:pPr>
      <w:r>
        <w:t>Current State of Patient Communication</w:t>
      </w:r>
    </w:p>
    <w:p/>
    <w:p>
      <w:r>
        <w:t>In the final quarter of 2024, our customer service representatives consistently utilized real-time patient data to address inquiries. This information includes account specifics, billing history, upcoming appointments, and processed visit summaries. These critical data points served as an essential resource for our team, with usage recorded in approximately 95% of patient communications throughout the past year. Leveraging this information has proven to be crucial in efficiently resolving patient inquiries and concerns.</w:t>
      </w:r>
    </w:p>
    <w:p/>
    <w:p>
      <w:pPr>
        <w:pStyle w:val="Heading2"/>
      </w:pPr>
      <w:r>
        <w:t>Proposed Improvements to Digital Platforms</w:t>
      </w:r>
    </w:p>
    <w:p/>
    <w:p>
      <w:r>
        <w:t>MediConn Solutions is planning a major update to our digital platforms in Q2 2025. This update will introduce new features like a simplified user interface, enhanced data security, and increased cross-platform compatibility. We expect this upgrade to provide an even more user-friendly experience for our patients, improving the overall quality of our virtual healthcare services.</w:t>
      </w:r>
    </w:p>
    <w:p/>
    <w:p>
      <w:pPr>
        <w:pStyle w:val="Heading2"/>
      </w:pPr>
      <w:r>
        <w:t>Expected Impact on Customer Service Calls</w:t>
      </w:r>
    </w:p>
    <w:p/>
    <w:p>
      <w:r>
        <w:t>Our customer service department has been consistently improving over the years. In 2023, we handled over 10,000 service calls, a 5% decrease from the previous year. We predict a further reduction of 3% in customer service calls for the upcoming year, based on our steady performance and continuous improvement strategies.</w:t>
      </w:r>
    </w:p>
    <w:p/>
    <w:p>
      <w:pPr>
        <w:pStyle w:val="Heading2"/>
      </w:pPr>
      <w:r>
        <w:t>Conclusion</w:t>
      </w:r>
    </w:p>
    <w:p/>
    <w:p>
      <w:r>
        <w:t>With strategic improvements to our digital platforms, we aim to enhance patient communication, subsequently reducing the volume of service calls. By adopting these strategies, we are destined to improve our customer service efficiency and overall patient satisfaction. Our next steps involve finalizing these proposed changes and beginning implementation by the end of the year.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