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Customer Service Performance Metrics</w:t>
      </w:r>
    </w:p>
    <w:p/>
    <w:p>
      <w:pPr>
        <w:pStyle w:val="Heading2"/>
      </w:pPr>
      <w:r>
        <w:t>Introduction</w:t>
      </w:r>
    </w:p>
    <w:p/>
    <w:p>
      <w:r>
        <w:t>This report provides an analysis of the Customer Service Department's performance metrics for 2024. It primarily focuses on the phone service aspect, highlighting statistics that can aid in identifying areas of improvement. The data used in this report was collected throughout the year and has been analyzed to provide valuable insights into our customer service operations.</w:t>
      </w:r>
    </w:p>
    <w:p/>
    <w:p>
      <w:pPr>
        <w:pStyle w:val="Heading2"/>
      </w:pPr>
      <w:r>
        <w:t>Overview of 2024 Phone Service Metrics</w:t>
      </w:r>
    </w:p>
    <w:p/>
    <w:p>
      <w:r>
        <w:t>In 2024, we noticed a significant increase in the number of phone interactions with our patients. Our Customer Service Department handled approximately 60,000 calls that year. Interestingly, we observed that 35% of these calls were related to inquiries about our services, while the rest were split between appointment scheduling and technical issues.</w:t>
      </w:r>
    </w:p>
    <w:p/>
    <w:p>
      <w:pPr>
        <w:pStyle w:val="Heading2"/>
      </w:pPr>
      <w:r>
        <w:t>Detailed Analysis of Average Handle Time</w:t>
      </w:r>
    </w:p>
    <w:p/>
    <w:p>
      <w:r>
        <w:t>A key focus in 2024 was to optimize our call handling processes. We introduced a new training program for our customer service representatives to improve their efficiency. Additionally, we implemented a new software system to better track and manage calls, which resulted in a decrease in dropped calls by 15%.</w:t>
      </w:r>
    </w:p>
    <w:p/>
    <w:p>
      <w:pPr>
        <w:pStyle w:val="Heading2"/>
      </w:pPr>
      <w:r>
        <w:t>Correlation Between Handle Time and Customer Satisfaction</w:t>
      </w:r>
    </w:p>
    <w:p/>
    <w:p>
      <w:r>
        <w:t>Throughout 2024, we conducted quarterly surveys to gauge customer satisfaction in relation to their phone service experience. There was a noticeable correlation between the resolution rate and customer satisfaction. Patients who had their issues resolved in the first call reported a higher satisfaction rate, contributing to a 10% increase in our overall customer satisfaction score.</w:t>
      </w:r>
    </w:p>
    <w:p/>
    <w:p>
      <w:pPr>
        <w:pStyle w:val="Heading2"/>
      </w:pPr>
      <w:r>
        <w:t>Conclusion</w:t>
      </w:r>
    </w:p>
    <w:p/>
    <w:p>
      <w:r>
        <w:t>The report provides a comprehensive view of the customer service phone metrics, with a detailed analysis of the average handle time. This metric, along with others, can be used to formulate strategies to enhance our customer service efficiency. The correlation between handle time and customer satisfaction underlines the importance of efficient call handling. Continued monitoring and improvements in these areas will ensure that MediConn Solutions remains a leader in customer service within the virtual healthcare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