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2024 Patient Engagement Survey Report</w:t>
      </w:r>
    </w:p>
    <w:p/>
    <w:p>
      <w:pPr>
        <w:pStyle w:val="Heading2"/>
      </w:pPr>
      <w:r>
        <w:t>Introduction</w:t>
      </w:r>
    </w:p>
    <w:p/>
    <w:p>
      <w:r>
        <w:t>This report provides a comprehensive overview of our patient engagement activities in 2024, focusing on the distribution of customer feedback surveys. As a leading provider of virtual healthcare services, we value our customers' insights and use their feedback to improve our services. The document outlines the survey distribution process, responses, and derived insights.</w:t>
      </w:r>
    </w:p>
    <w:p/>
    <w:p>
      <w:pPr>
        <w:pStyle w:val="Heading2"/>
      </w:pPr>
      <w:r>
        <w:t>Survey Distribution Process and Strategy</w:t>
      </w:r>
    </w:p>
    <w:p/>
    <w:p>
      <w:r>
        <w:t>Our survey distribution strategy uses a multi-pronged approach, with automatic distribution following consultations and support interactions, along with a quarterly distribution to all active users. In 2023, we enhanced our distribution process to ensure that the surveys reach a wider demographic, thus ensuring more comprehensive feedback. We are currently testing a new feature that allows users to provide feedback during their virtual consultations.</w:t>
      </w:r>
    </w:p>
    <w:p/>
    <w:p>
      <w:pPr>
        <w:pStyle w:val="Heading2"/>
      </w:pPr>
      <w:r>
        <w:t>Response Analysis and Key Findings</w:t>
      </w:r>
    </w:p>
    <w:p/>
    <w:p>
      <w:r>
        <w:t>Our team has been diligently analyzing responses, focusing on identifying key trends and areas of concern. In 2023, we noticed a significant increase in comments about the user interface, prompting us to initiate a design overhaul. We use sophisticated data analytics tools to dissect the responses and highlight common themes.</w:t>
      </w:r>
    </w:p>
    <w:p/>
    <w:p>
      <w:pPr>
        <w:pStyle w:val="Heading2"/>
      </w:pPr>
      <w:r>
        <w:t>Actionable Insights and Improvement Recommendations</w:t>
      </w:r>
    </w:p>
    <w:p/>
    <w:p>
      <w:r>
        <w:t>Based on the data gathered in 2023, we made several recommendations for improving our platform and services. We suggested updating our user interface and enhancing the quality of our customer support. These changes were implemented in the first quarter of 2024 and have been positively received by our users.</w:t>
      </w:r>
    </w:p>
    <w:p/>
    <w:p>
      <w:pPr>
        <w:pStyle w:val="Heading2"/>
      </w:pPr>
      <w:r>
        <w:t>Conclusion</w:t>
      </w:r>
    </w:p>
    <w:p/>
    <w:p>
      <w:r>
        <w:t>Our 2024 survey activities have provided valuable insights into our patients' experiences and needs, enabling us to refine our services and improve patient satisfaction. We distributed a significant number of surveys, received substantial responses, and identified key areas for improvement. The feedback will guide our future strategies in delivering superior virtual healthcare. Let's continue to embrace feedback as a driver for our continuous improvement.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