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Interaction Channels Analysis 2024</w:t>
      </w:r>
    </w:p>
    <w:p/>
    <w:p>
      <w:pPr>
        <w:pStyle w:val="Heading2"/>
      </w:pPr>
      <w:r>
        <w:t>Introduction</w:t>
      </w:r>
    </w:p>
    <w:p/>
    <w:p>
      <w:r>
        <w:t>This report provides an analysis of the multiple channels used for customer service interactions at MediConn Solutions in 2024. As we continue to evolve our virtual healthcare services, understanding how our customers choose to interact with us is crucial. The insights gathered here will assist in strategic planning for customer service improvements and resource allocation.</w:t>
      </w:r>
    </w:p>
    <w:p/>
    <w:p>
      <w:pPr>
        <w:pStyle w:val="Heading2"/>
      </w:pPr>
      <w:r>
        <w:t>Analysis of Customer Service Channels Utilization</w:t>
      </w:r>
    </w:p>
    <w:p/>
    <w:p>
      <w:r>
        <w:t>In 2024, our customer service team expanded its reach by implementing a new social media response protocol. This led to an engagement increase of 22% on platforms like Twitter and Facebook. Despite this, the majority of our customer queries still flowed through traditional channels, with the call center receiving a significant volume of queries.</w:t>
      </w:r>
    </w:p>
    <w:p/>
    <w:p>
      <w:pPr>
        <w:pStyle w:val="Heading2"/>
      </w:pPr>
      <w:r>
        <w:t>Customer Satisfaction Levels per Interaction Channel</w:t>
      </w:r>
    </w:p>
    <w:p/>
    <w:p>
      <w:r>
        <w:t>Our annual customer satisfaction survey in 2024 revealed a significant improvement in overall satisfaction rates. The score increased by 10% from the previous year, reaching a commendable 88%. Notably, our mobile app received positive feedback for its user-friendly interface and convenience.</w:t>
      </w:r>
    </w:p>
    <w:p/>
    <w:p>
      <w:pPr>
        <w:pStyle w:val="Heading2"/>
      </w:pPr>
      <w:r>
        <w:t>Efficiency and Response Time Across Channels</w:t>
      </w:r>
    </w:p>
    <w:p/>
    <w:p>
      <w:r>
        <w:t>In the final quarter of 2024, we observed a 15% improvement in response times across all customer service channels. This was largely due to the implementation of a new AI-powered ticketing system which helped streamline our service response protocols. Our ticket resolution rates also showed positive trends.</w:t>
      </w:r>
    </w:p>
    <w:p/>
    <w:p>
      <w:pPr>
        <w:pStyle w:val="Heading2"/>
      </w:pPr>
      <w:r>
        <w:t>Conclusion</w:t>
      </w:r>
    </w:p>
    <w:p/>
    <w:p>
      <w:r>
        <w:t>The insights from this report provide a comprehensive understanding of how our customers prefer to interact with us. This data is instrumental in making informed decisions about where to invest in customer service resources. We recommend further exploration into the efficiency and response time of each channel to improve overall customer satisfaction. Future reports should also track the trend of these metrics to anticipate changes in customer behavior.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