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Virtual Healthcare Accessibility in Q1 2026</w:t>
      </w:r>
    </w:p>
    <w:p/>
    <w:p>
      <w:pPr>
        <w:pStyle w:val="Heading2"/>
      </w:pPr>
      <w:r>
        <w:t>Introduction</w:t>
      </w:r>
    </w:p>
    <w:p/>
    <w:p>
      <w:r>
        <w:t>As MediConn Solutions continues to pioneer in the virtual healthcare industry, maintaining the highest standards of customer satisfaction remains our key priority. The recent MGMA's findings highlight the crucial role of patient communication technology in addressing digital front door issues like inefficient booking systems. This document proposes strategies for improving patient access to our virtual consultations and prescription management services in Q1 2026. Our ultimate goal is to reduce wait times, and thereby significantly boost customer satisfaction and retention.</w:t>
      </w:r>
    </w:p>
    <w:p/>
    <w:p>
      <w:pPr>
        <w:pStyle w:val="Heading2"/>
      </w:pPr>
      <w:r>
        <w:t>Boosting Efficiency in Prescription Management Services</w:t>
      </w:r>
    </w:p>
    <w:p/>
    <w:p>
      <w:r>
        <w:t>Our prescription management services have consistently evolved since MediConn's inception, with the most recent update in the second quarter of 2025. This update enabled physicians to send e-prescriptions directly to patients' preferred pharmacies, reducing the average processing time by 20%. However, we continue to strive for further enhancements to our system.</w:t>
      </w:r>
    </w:p>
    <w:p/>
    <w:p>
      <w:pPr>
        <w:pStyle w:val="Heading2"/>
      </w:pPr>
      <w:r>
        <w:t>Customer Satisfaction and Retention Strategies</w:t>
      </w:r>
    </w:p>
    <w:p/>
    <w:p>
      <w:r>
        <w:t>In 2025, we implemented a comprehensive customer feedback system, enabling us to better understand our clients' needs and concerns. This system has yielded a 5% increase in overall customer satisfaction rates. We also introduced a loyalty program, which has seen a 10% enrolment rate since its launch, and we anticipate further growth.</w:t>
      </w:r>
    </w:p>
    <w:p/>
    <w:p>
      <w:pPr>
        <w:pStyle w:val="Heading2"/>
      </w:pPr>
      <w:r>
        <w:t>Innovations in Virtual Consultation Accessibility</w:t>
      </w:r>
    </w:p>
    <w:p/>
    <w:p>
      <w:r>
        <w:t>A comparative analysis of the patient retention rates for returning users between 2023 and 2024 revealed a concerning dip from 71% to 64%. This decline was significantly influenced by the challenges our patients faced in booking their appointments, an issue articulated by 38% of the non-returning patients during 2024's exit surveys. Additionally, an extended waiting period for appointments was a factor that led to dissatisfaction among 29% of these patients. This data underscores the urgent need to reassess and enhance our online booking system and reduce appointment wait times to improve patient satisfaction and retention.</w:t>
      </w:r>
    </w:p>
    <w:p/>
    <w:p>
      <w:pPr>
        <w:pStyle w:val="Heading2"/>
      </w:pPr>
      <w:r>
        <w:t>Conclusion</w:t>
      </w:r>
    </w:p>
    <w:p/>
    <w:p>
      <w:r>
        <w:t>By enhancing virtual consultation accessibility and streamlining prescription management services, we can address critical digital front door issues, reducing patient wait times. These improvements will not only enhance the overall user experience, but also fortify patient trust and satisfaction, leading to higher retention rates. As a next step, we need to align our teams, develop these strategies, and start implementing pilot projects at the earliest. Let's move forward together in delivering superior virtual healthcare services to all Canadians.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