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Knowledge Management System Compliance Review</w:t>
      </w:r>
    </w:p>
    <w:p/>
    <w:p>
      <w:pPr>
        <w:pStyle w:val="Heading2"/>
      </w:pPr>
      <w:r>
        <w:t>Introduction</w:t>
      </w:r>
    </w:p>
    <w:p/>
    <w:p>
      <w:r>
        <w:t>As MediConn Solutions continues to lead in virtual healthcare services, our adherence to regulatory compliance is of utmost importance. A critical aspect of this is keeping our documentation updated, particularly with our knowledge management system. This report explores the effectiveness of our current system and anticipates capabilities for automated document review by Q4 2025.</w:t>
      </w:r>
    </w:p>
    <w:p/>
    <w:p>
      <w:pPr>
        <w:pStyle w:val="Heading2"/>
      </w:pPr>
      <w:r>
        <w:t>Assessment of Current Compliance Documentation Process</w:t>
      </w:r>
    </w:p>
    <w:p/>
    <w:p>
      <w:r>
        <w:t>MediConn Solutions' current compliance documentation process involves meticulous review from our dedicated legal and compliance team. Over the past year, we have seen a 20% reduction in documentation errors, a testament to the effectiveness of our rigorous review process. The team continues to adapt and learn from annual audits, contributing to the continuous improvement of our compliance process.</w:t>
      </w:r>
    </w:p>
    <w:p/>
    <w:p>
      <w:pPr>
        <w:pStyle w:val="Heading2"/>
      </w:pPr>
      <w:r>
        <w:t>Anticipated Technological Advancements in Knowledge Management</w:t>
      </w:r>
    </w:p>
    <w:p/>
    <w:p>
      <w:r>
        <w:t>The landscape of knowledge management technology is constantly evolving. We have seen an emergence of AI and machine learning capabilities in the past few years. By 2030, we anticipate further integration of such technologies in our knowledge management systems to enhance data analysis and information retrieval capabilities.</w:t>
      </w:r>
    </w:p>
    <w:p/>
    <w:p>
      <w:pPr>
        <w:pStyle w:val="Heading2"/>
      </w:pPr>
      <w:r>
        <w:t>Feasibility of Automated Compliance Document Review</w:t>
      </w:r>
    </w:p>
    <w:p/>
    <w:p>
      <w:r>
        <w:t>Automating compliance document review can present both opportunities and challenges. While it may increase efficiency and reduce human error, it could also make the process more susceptible to cyber threats. As such, a robust cybersecurity framework would be essential to ensure the protection of sensitive data.</w:t>
      </w:r>
    </w:p>
    <w:p/>
    <w:p>
      <w:pPr>
        <w:pStyle w:val="Heading2"/>
      </w:pPr>
      <w:r>
        <w:t>Conclusion</w:t>
      </w:r>
    </w:p>
    <w:p/>
    <w:p>
      <w:r>
        <w:t>In conclusion, maintaining up-to-date compliance documentation is integral to MediConn's operations and reputation. While our current system has served us well, embracing technological advancements could further improve efficiency. Implementing an automated review process by Q4 2025 is feasible and would significantly enhance our compliance measures. Further discussions and planning are recommended to ensure a smooth transition.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