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MediConn Clinical Documentation Update</w:t>
      </w:r>
    </w:p>
    <w:p/>
    <w:p>
      <w:pPr>
        <w:pStyle w:val="Heading2"/>
      </w:pPr>
      <w:r>
        <w:t>Introduction</w:t>
      </w:r>
    </w:p>
    <w:p/>
    <w:p>
      <w:r>
        <w:t>This report provides an overview of the changes made to the clinical documentation standards in Q4 2024. It aims to inform all MediConn Solutions’ healthcare professionals about the new standards added to our knowledge database. The amendments are in line with our commitment to providing quality virtual healthcare services. Understanding these changes will ensure we maintain regulatory compliance and high care standards.</w:t>
      </w:r>
    </w:p>
    <w:p/>
    <w:p>
      <w:pPr>
        <w:pStyle w:val="Heading2"/>
      </w:pPr>
      <w:r>
        <w:t>Overview of Q4 2024 Documentation Standards Amendments</w:t>
      </w:r>
    </w:p>
    <w:p/>
    <w:p>
      <w:r>
        <w:t>During Q4 2024, the healthcare industry experienced several changes in the documentation standards. The Canadian Health Informatics Association (CHIA) introduced amendments to enhance the clarity and precision of digital health data. These changes were aimed at standardizing healthcare data across the industry, promoting interoperability and streamlining the capture of patient data.</w:t>
      </w:r>
    </w:p>
    <w:p/>
    <w:p>
      <w:pPr>
        <w:pStyle w:val="Heading2"/>
      </w:pPr>
      <w:r>
        <w:t>Impact of New Standards on MediConn's Virtual Healthcare Services</w:t>
      </w:r>
    </w:p>
    <w:p/>
    <w:p>
      <w:r>
        <w:t>The adoption of the new documentation standards in Q4 2024 significantly improved MediConn's virtual healthcare services. Our team noticed a 20% increase in data accuracy, leading to optimized patient care. Furthermore, the enhanced data interoperability resulted in smoother cross-functional collaborations within our organization.</w:t>
      </w:r>
    </w:p>
    <w:p/>
    <w:p>
      <w:pPr>
        <w:pStyle w:val="Heading2"/>
      </w:pPr>
      <w:r>
        <w:t>Integration of New Documentation Standards into Clinical Practice</w:t>
      </w:r>
    </w:p>
    <w:p/>
    <w:p>
      <w:r>
        <w:t>By the end of Q4 2024, our clinicians were proficient in the newly introduced documentation standards. This was ensured through a rigorous training program that was executed across all our branches. The practical transition to the new standards was largely smooth, thanks to the dedication of our training and development team.</w:t>
      </w:r>
    </w:p>
    <w:p/>
    <w:p>
      <w:pPr>
        <w:pStyle w:val="Heading2"/>
      </w:pPr>
      <w:r>
        <w:t>Conclusion</w:t>
      </w:r>
    </w:p>
    <w:p/>
    <w:p>
      <w:r>
        <w:t>Q4 2024 brought significant changes to our documentation standards. The newly approved standards not only improve our regulatory compliance but also enhance our service delivery. It is crucial that all healthcare professionals familiarize themselves with these changes to maintain our commitment to quality care. Training sessions will be available to facilitate integration of these standards into clinical practice.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