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Training Communication Analysis</w:t>
      </w:r>
    </w:p>
    <w:p/>
    <w:p>
      <w:pPr>
        <w:pStyle w:val="Heading2"/>
      </w:pPr>
      <w:r>
        <w:t>Introduction</w:t>
      </w:r>
    </w:p>
    <w:p/>
    <w:p>
      <w:r>
        <w:t>As the Knowledge Team Lead at MediConn Solutions, it is my responsibility to ensure our virtual care staff are well-equipped with the necessary knowledge to perform their duties. Part of this involves sending out regular reminders for compulsory training sessions on our virtual knowledge management platform. This document provides an analysis of the communication activities related to these training sessions during the period October 1 to December 31, 2024.</w:t>
      </w:r>
    </w:p>
    <w:p/>
    <w:p>
      <w:pPr>
        <w:pStyle w:val="Heading2"/>
      </w:pPr>
      <w:r>
        <w:t>General Training Session Attendance Records</w:t>
      </w:r>
    </w:p>
    <w:p/>
    <w:p>
      <w:r>
        <w:t>In Q3 2024, we noted a 15% increase in attendance at our general training sessions compared to the same period in 2023. This suggests that our efforts to engage and motivate our virtual healthcare staff are bearing fruit. Our internal survey revealed that 80% of attendees found the training sessions useful for their daily operations.</w:t>
      </w:r>
    </w:p>
    <w:p/>
    <w:p>
      <w:pPr>
        <w:pStyle w:val="Heading2"/>
      </w:pPr>
      <w:r>
        <w:t>Overview of Communication Methods Utilized</w:t>
      </w:r>
    </w:p>
    <w:p/>
    <w:p>
      <w:r>
        <w:t>Our key communication methods include email, instant messaging, and video calls. We use these tools to disseminate information quickly and effectively across our remote workforce. In 2024, we integrated a new feature in our messaging platform that automatically translates messages into the recipient's preferred language.</w:t>
      </w:r>
    </w:p>
    <w:p/>
    <w:p>
      <w:pPr>
        <w:pStyle w:val="Heading2"/>
      </w:pPr>
      <w:r>
        <w:t>Analysis of Training Reminder Frequency</w:t>
      </w:r>
    </w:p>
    <w:p/>
    <w:p>
      <w:r>
        <w:t>We've observed that sending more than 3 reminders within a week can lead to 'reminder fatigue', reducing their effectiveness. To mitigate this, we've implemented an adaptive reminder system in Q4, 2023 that customizes the number of reminders based on individual response rates. This has improved overall engagement rates.</w:t>
      </w:r>
    </w:p>
    <w:p/>
    <w:p>
      <w:pPr>
        <w:pStyle w:val="Heading2"/>
      </w:pPr>
      <w:r>
        <w:t>Conclusion</w:t>
      </w:r>
    </w:p>
    <w:p/>
    <w:p>
      <w:r>
        <w:t>The analysis has provided valuable insights into the frequency and effectiveness of our communication efforts in ensuring staff attendance at general training sessions. It is clear that regular reminders play a crucial role in promoting staff participation. Moving forward, we will continue to explore optimal reminder frequencies and diverse communication methods to ensure maximum engagement. Your feedback and suggestions for improvement are always welcome.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