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Q4 2024 Technical Support Analysis</w:t>
      </w:r>
    </w:p>
    <w:p/>
    <w:p>
      <w:pPr>
        <w:pStyle w:val="Heading2"/>
      </w:pPr>
      <w:r>
        <w:t>Introduction</w:t>
      </w:r>
    </w:p>
    <w:p/>
    <w:p>
      <w:r>
        <w:t>This report provides a comprehensive analysis of the technical support issues encountered by our clients in Q4 2024. It aims to identify the most common problem, study its impact, and propose potential solutions. The findings of this report will help us improve our services and increase client satisfaction.</w:t>
      </w:r>
    </w:p>
    <w:p/>
    <w:p>
      <w:pPr>
        <w:pStyle w:val="Heading2"/>
      </w:pPr>
      <w:r>
        <w:t>Overview of Q4 2024 Technical Support Requests</w:t>
      </w:r>
    </w:p>
    <w:p/>
    <w:p>
      <w:r>
        <w:t>In Q4 2024, MediConn Solutions' technical support team handled approximately 2,500 requests, on par with Q3. These requests covered a range of issues, from software compatibility to user interface difficulties. Interestingly, the average resolution time decreased by 10% compared to the previous quarter, reflecting increased efficiency within the support team.</w:t>
      </w:r>
    </w:p>
    <w:p/>
    <w:p>
      <w:pPr>
        <w:pStyle w:val="Heading2"/>
      </w:pPr>
      <w:r>
        <w:t>Detailed Analysis of the Most Common Issue</w:t>
      </w:r>
    </w:p>
    <w:p/>
    <w:p>
      <w:r>
        <w:t>In Q4 2024, a significant number of cases were related to patients having difficulty understanding new features introduced in our recent software update. The majority of these issues were escalated to the user experience team, who collaborated closely with the technical support team to streamline user guidance. The user-onboarding process was modified accordingly to accommodate these changes.</w:t>
      </w:r>
    </w:p>
    <w:p/>
    <w:p>
      <w:pPr>
        <w:pStyle w:val="Heading2"/>
      </w:pPr>
      <w:r>
        <w:t>Proposed Solutions and Improvement Measures</w:t>
      </w:r>
    </w:p>
    <w:p/>
    <w:p>
      <w:r>
        <w:t>Moving into 2025, MediConn Solutions plans to implement a proactive approach to technical support. This includes early detection of potential issues, enhanced training for support staff, and improvements to our digital platforms' user guides. The aim is to reduce the number of support requests and to ensure a seamless experience for our clients.</w:t>
      </w:r>
    </w:p>
    <w:p/>
    <w:p>
      <w:pPr>
        <w:pStyle w:val="Heading2"/>
      </w:pPr>
      <w:r>
        <w:t>Conclusion</w:t>
      </w:r>
    </w:p>
    <w:p/>
    <w:p>
      <w:r>
        <w:t>The analysis of Q4 2024's technical support issues provides valuable insights into the challenges our clients are facing. The most common issue identified has been thoroughly reviewed, and potential solutions have been proposed. Moving forward, these findings should be used to enhance our technical support and overall client experience. Continued analysis in this area is recommended to monitor the effectiveness of implemented solutions.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