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2023 Sales Data Privacy Compliance Report</w:t>
      </w:r>
    </w:p>
    <w:p/>
    <w:p>
      <w:pPr>
        <w:pStyle w:val="Heading2"/>
      </w:pPr>
      <w:r>
        <w:t>Introduction</w:t>
      </w:r>
    </w:p>
    <w:p/>
    <w:p>
      <w:r>
        <w:t>This report provides a comprehensive overview of the sales team's adherence to Canadian privacy laws in the first quarter of 2023. It is integral to ensuring that MediConn Solutions continues to uphold the highest data privacy standards. By remaining compliant, we not only ensure the safety of our patients' information but also maintain our strong position in the competitive virtual healthcare market.</w:t>
      </w:r>
    </w:p>
    <w:p/>
    <w:p>
      <w:pPr>
        <w:pStyle w:val="Heading2"/>
      </w:pPr>
      <w:r>
        <w:t>Sales Team Training and Compliance Measures</w:t>
      </w:r>
    </w:p>
    <w:p/>
    <w:p>
      <w:r>
        <w:t>In Q1 2023, our sales team underwent extensive training in the use of our newest software platform, MediConn 2.0. This platform incorporates the latest telehealth technology to allow for an enhanced user experience. Additionally, 95% of our sales team completed advanced training in conflict resolution, improving their ability to manage challenging customer interactions.</w:t>
      </w:r>
    </w:p>
    <w:p/>
    <w:p>
      <w:pPr>
        <w:pStyle w:val="Heading2"/>
      </w:pPr>
      <w:r>
        <w:t>Q1 2023 New Patient Data Management</w:t>
      </w:r>
    </w:p>
    <w:p/>
    <w:p>
      <w:r>
        <w:t>In Q1 2023, MediConn Solutions welcomed 15,000 new patients, a 12% increase from the previous quarter. This surge was primarily due to our expanded marketing efforts in the Greater Toronto Area. Furthermore, the new patient registration process was streamlined, reducing the average registration time by 15%.</w:t>
      </w:r>
    </w:p>
    <w:p/>
    <w:p>
      <w:pPr>
        <w:pStyle w:val="Heading2"/>
      </w:pPr>
      <w:r>
        <w:t>Data Breach Response and Mitigation Strategies</w:t>
      </w:r>
    </w:p>
    <w:p/>
    <w:p>
      <w:r>
        <w:t>During Q1 2023, we enhanced our data breach response capabilities by conducting a company-wide cybersecurity awareness program. We also updated our Incident Response Plan to include more robust mitigation strategies. These measures ensure our readiness to respond swiftly and effectively to any potential data breaches.</w:t>
      </w:r>
    </w:p>
    <w:p/>
    <w:p>
      <w:pPr>
        <w:pStyle w:val="Heading2"/>
      </w:pPr>
      <w:r>
        <w:t>Conclusion</w:t>
      </w:r>
    </w:p>
    <w:p/>
    <w:p>
      <w:r>
        <w:t>Throughout Q1 2023, our sales team demonstrated a strong commitment to data privacy compliance. The training measures implemented have proven effective, and the protocols for new patient data management were adhered to diligently. Moving forward, we must continue to prioritize data privacy in order to maintain the trust of our patients and stay compliant with Canadian laws.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