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Strategies for Enhancing Digital Health Sales</w:t>
      </w:r>
    </w:p>
    <w:p/>
    <w:p>
      <w:pPr>
        <w:pStyle w:val="Heading2"/>
      </w:pPr>
      <w:r>
        <w:t>Introduction</w:t>
      </w:r>
    </w:p>
    <w:p/>
    <w:p>
      <w:r>
        <w:t>As MediConn Solutions continues to advance in the virtual healthcare market, identifying effective strategies to increase sales and customer retention is crucial. This document provides a comprehensive analysis of our sales data, customer feedback, and industry trends to propose data-driven sales strategies. The goal is to improve our service delivery, reduce readmission rates, and foster long-term customer relationships.</w:t>
      </w:r>
    </w:p>
    <w:p/>
    <w:p>
      <w:pPr>
        <w:pStyle w:val="Heading2"/>
      </w:pPr>
      <w:r>
        <w:t>Analysis of Customer Feedback and Retention Rates</w:t>
      </w:r>
    </w:p>
    <w:p/>
    <w:p>
      <w:r>
        <w:t>Our customer satisfaction surveys from the last quarter showed a marked improvement, with an overall satisfaction score of 84%. Retention rates, on the other hand, were relatively flat year-over-year, hovering around 70%. This indicates a stable, albeit not growing, customer base.</w:t>
      </w:r>
    </w:p>
    <w:p/>
    <w:p>
      <w:pPr>
        <w:pStyle w:val="Heading2"/>
      </w:pPr>
      <w:r>
        <w:t>Review on Current Sales Performance Metrics</w:t>
      </w:r>
    </w:p>
    <w:p/>
    <w:p>
      <w:r>
        <w:t>An analysis of our 2023 sales performance metrics reveals that MediConn Solutions effectively utilized client data to enhance customer retention. We categorized our SME clients based on their engagement levels and launched personalized outreach initiatives. This data-driven strategy resulted in notable improvements in client retention, with CRM analytics indicating a 15% rise in the retention rate over a half-year period. This showcases the effectiveness of leveraging sales analytics to deliver tailored support and foster long-term client relationships.</w:t>
      </w:r>
    </w:p>
    <w:p/>
    <w:p>
      <w:pPr>
        <w:pStyle w:val="Heading2"/>
      </w:pPr>
      <w:r>
        <w:t>Market Trends and Opportunities in Virtual Healthcare</w:t>
      </w:r>
    </w:p>
    <w:p/>
    <w:p>
      <w:r>
        <w:t>The virtual healthcare sector in Canada has seen steady growth over the past five years. There's a noticeable shift towards remote consultations and telemedicine, especially in rural areas. The market is projected to continue this upward trajectory, with an estimated CAGR of 16% by 2029.</w:t>
      </w:r>
    </w:p>
    <w:p/>
    <w:p>
      <w:pPr>
        <w:pStyle w:val="Heading2"/>
      </w:pPr>
      <w:r>
        <w:t>Conclusion</w:t>
      </w:r>
    </w:p>
    <w:p/>
    <w:p>
      <w:r>
        <w:t>Adopting data-driven strategies is vital for MediConn Solutions to boost sales and improve customer retention in the highly competitive virtual healthcare sector. Continuous monitoring of sales performance, understanding customer needs, and staying abreast of industry trends are key to achieving this. The strategies outlined in this document provide a roadmap towards these objectives. Further discussions and action plans should be prioritized to ensure effective implementation.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