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Regulatory Compliance Overview</w:t>
      </w:r>
    </w:p>
    <w:p/>
    <w:p>
      <w:pPr>
        <w:pStyle w:val="Heading2"/>
      </w:pPr>
      <w:r>
        <w:t>Introduction</w:t>
      </w:r>
    </w:p>
    <w:p/>
    <w:p>
      <w:r>
        <w:t>As MediConn Solutions continues to expand its virtual healthcare services across Canada, maintaining up-to-date certification and compliance with regulatory bodies is critical. This document provides an overview of the current certifications held by MediConn as of March 30, 2023. It aims to provide transparency and assurance to internal stakeholders about our commitment to maintaining the highest standards of regulatory compliance.</w:t>
      </w:r>
    </w:p>
    <w:p/>
    <w:p>
      <w:pPr>
        <w:pStyle w:val="Heading2"/>
      </w:pPr>
      <w:r>
        <w:t>Overview of Healthcare Regulations in Canada</w:t>
      </w:r>
    </w:p>
    <w:p/>
    <w:p>
      <w:r>
        <w:t>Healthcare regulations in Canada have a profound impact on the virtual healthcare landscape. Since the introduction of the Canada Health Act in 1984, the government has implemented a series of stringent measures to ensure patient safety and service quality. The legislation promotes a strong emphasis on patient privacy, accessibility, and quality of care. It is expected that future amendments to the Act will further strengthen this regulatory framework.</w:t>
      </w:r>
    </w:p>
    <w:p/>
    <w:p>
      <w:pPr>
        <w:pStyle w:val="Heading2"/>
      </w:pPr>
      <w:r>
        <w:t>MediConn's Current Certifications and Compliance</w:t>
      </w:r>
    </w:p>
    <w:p/>
    <w:p>
      <w:r>
        <w:t>MediConn Solutions is committed to constantly enhancing its compliance and certification measures. Last year, our compliance department underwent a major restructuring to better adapt to the rapidly evolving telehealth industry. As a result, we have been able to improve our compliance rate by 15% in 2022, ensuring that we meet all necessary regulations and standards set forth by the healthcare industry.</w:t>
      </w:r>
    </w:p>
    <w:p/>
    <w:p>
      <w:pPr>
        <w:pStyle w:val="Heading2"/>
      </w:pPr>
      <w:r>
        <w:t>Implications for Future Business Operations</w:t>
      </w:r>
    </w:p>
    <w:p/>
    <w:p>
      <w:r>
        <w:t>With the evolving landscape of healthcare regulations, MediConn Solutions is continuously adapting its business strategy. Our extensive market research indicates a projected growth rate of 20% for the telehealth sector within the next five years. Therefore, to maintain our competitive edge, we are developing new digital platforms and planning to expand our services to include mental health support by Q4 of 2024.</w:t>
      </w:r>
    </w:p>
    <w:p/>
    <w:p>
      <w:pPr>
        <w:pStyle w:val="Heading2"/>
      </w:pPr>
      <w:r>
        <w:t>Conclusion</w:t>
      </w:r>
    </w:p>
    <w:p/>
    <w:p>
      <w:r>
        <w:t>Maintaining regulatory compliance is essential for MediConn's operations and reputation. As of the stated date, we hold all necessary certifications to operate in Canada. We will continue to monitor changes in regulations and take necessary actions to remain compliant. This practice ensures our commitment to providing safe, secure, and compliant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