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Key Strategies for Long-term Client Retention</w:t>
      </w:r>
    </w:p>
    <w:p/>
    <w:p>
      <w:pPr>
        <w:pStyle w:val="Heading2"/>
      </w:pPr>
      <w:r>
        <w:t>Introduction</w:t>
      </w:r>
    </w:p>
    <w:p/>
    <w:p>
      <w:r>
        <w:t>As MediConn Solutions continues to grow, maintaining a strong client base is paramount. This report aims to identify key factors that contribute to long-term client retention, particularly focusing on our recently converted full-time users. The insights herein will provide strategic guidance to optimize our sales processes and enhance our client relationship management.</w:t>
      </w:r>
    </w:p>
    <w:p/>
    <w:p>
      <w:pPr>
        <w:pStyle w:val="Heading2"/>
      </w:pPr>
      <w:r>
        <w:t>Assessing the Effectiveness of CRM Systems</w:t>
      </w:r>
    </w:p>
    <w:p/>
    <w:p>
      <w:r>
        <w:t>Our CRM system, implemented in 2024, has been instrumental in managing customer relationships and tracking sales. The system helped us increase our customer engagement rate by 50% in its first year of operation, and it has become an integral part of our sales and customer service departments. However, we aim to continually optimize its functionality to better serve our changing business needs.</w:t>
      </w:r>
    </w:p>
    <w:p/>
    <w:p>
      <w:pPr>
        <w:pStyle w:val="Heading2"/>
      </w:pPr>
      <w:r>
        <w:t>Understanding Key Client Retention Indicators</w:t>
      </w:r>
    </w:p>
    <w:p/>
    <w:p>
      <w:r>
        <w:t>In 2025, our key client retention indicators were the frequency of platform usage, the number of healthcare professionals accessed by a client, and the client's engagement with our customer support. These metrics helped us gain insights into our client's behavior and satisfaction levels. We observed a 60% increase in platform usage compared to the previous year.</w:t>
      </w:r>
    </w:p>
    <w:p/>
    <w:p>
      <w:pPr>
        <w:pStyle w:val="Heading2"/>
      </w:pPr>
      <w:r>
        <w:t>Evaluating User Experience and Satisfaction</w:t>
      </w:r>
    </w:p>
    <w:p/>
    <w:p>
      <w:r>
        <w:t>In a strategic move to enhance client retention, MediConn Solutions rolled out a robust retention toolkit in September 2021. This encompassed semi-annual account assessments, automated notifications for users nearing the end of their subscription term, and the introduction of client success managers dedicated to each account. The early results of this initiative are promising, registering an 8% decline in voluntary attrition in the first two quarters of 2022. This indicates a positive trajectory in our client retention efforts, underlining the effectiveness of our user experience and satisfaction measures.</w:t>
      </w:r>
    </w:p>
    <w:p/>
    <w:p>
      <w:pPr>
        <w:pStyle w:val="Heading2"/>
      </w:pPr>
      <w:r>
        <w:t>Conclusion</w:t>
      </w:r>
    </w:p>
    <w:p/>
    <w:p>
      <w:r>
        <w:t>By focusing on client satisfaction, optimizing our CRM, and tracking key retention indicators, we can secure long-term relationships with our clients. These strategies will not only strengthen our existing client base but also position us as a preferred provider in the virtual healthcare industry. Moving forward, the sales team should prioritize these areas and incorporate them into our ongoing strategy. Recommendations for specific actions will follow in the detailed sections.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