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2024 Cybersecurity Activities Review</w:t>
      </w:r>
    </w:p>
    <w:p/>
    <w:p>
      <w:pPr>
        <w:pStyle w:val="Heading2"/>
      </w:pPr>
      <w:r>
        <w:t>Introduction</w:t>
      </w:r>
    </w:p>
    <w:p/>
    <w:p>
      <w:r>
        <w:t>As a part of our ongoing commitment to cybersecurity, this document provides a review of our activities during Q1 of 2024. We provide a detailed account of our collaboration with the MediConn development team, focusing on the implementation and enforcement of secure coding practices. The objective of this review is to evaluate our effectiveness and identify areas of improvement to ensure the continued security and privacy of our digital healthcare platforms.</w:t>
      </w:r>
    </w:p>
    <w:p/>
    <w:p>
      <w:pPr>
        <w:pStyle w:val="Heading2"/>
      </w:pPr>
      <w:r>
        <w:t>Collaboration Initiatives between Cybersecurity and Development Teams</w:t>
      </w:r>
    </w:p>
    <w:p/>
    <w:p>
      <w:r>
        <w:t>In 2023, the cybersecurity team collaborated with the development team to implement a new encryption protocol on our platform. The initiative was aimed at improving the security level of patient data in transit. The project was successfully completed in December 2023, resulting in a 20% increase in data security.</w:t>
      </w:r>
    </w:p>
    <w:p/>
    <w:p>
      <w:pPr>
        <w:pStyle w:val="Heading2"/>
      </w:pPr>
      <w:r>
        <w:t>Updates to Secure Coding Guidelines</w:t>
      </w:r>
    </w:p>
    <w:p/>
    <w:p>
      <w:r>
        <w:t>Our secure coding guidelines are regularly updated to incorporate emerging cybersecurity threats and trends. In 2023, we added a section on secure coding for mobile applications. We also modified our guidelines related to third-party integrations to accommodate new compliance requirements.</w:t>
      </w:r>
    </w:p>
    <w:p/>
    <w:p>
      <w:pPr>
        <w:pStyle w:val="Heading2"/>
      </w:pPr>
      <w:r>
        <w:t>Cybersecurity Participation in Internal Meetings</w:t>
      </w:r>
    </w:p>
    <w:p/>
    <w:p>
      <w:r>
        <w:t>Active participation from our cybersecurity team in internal meetings enhances our overall security posture. In Q2 2024, we saw a 15% increase in attendance from the cybersecurity team in the development team meetings, which led to a better understanding of the security needs of ongoing projects.</w:t>
      </w:r>
    </w:p>
    <w:p/>
    <w:p>
      <w:pPr>
        <w:pStyle w:val="Heading2"/>
      </w:pPr>
      <w:r>
        <w:t>Conclusion</w:t>
      </w:r>
    </w:p>
    <w:p/>
    <w:p>
      <w:r>
        <w:t>The review of our Q1 2024 activities reveals a strong commitment to cybersecurity practices and collaboration across teams. The Cybersecurity team's active participation in internal meetings has been instrumental in updating secure coding guidelines and ensuring their effective implementation. We recommend continuing this collaborative approach and scheduling regular reviews to keep improving our security measures. The ultimate goal is to maintain and enhance the trust of our users in our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