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2024 Cybersecurity Compliance Report</w:t>
      </w:r>
    </w:p>
    <w:p/>
    <w:p>
      <w:pPr>
        <w:pStyle w:val="Heading2"/>
      </w:pPr>
      <w:r>
        <w:t>Introduction</w:t>
      </w:r>
    </w:p>
    <w:p/>
    <w:p>
      <w:r>
        <w:t>This report provides a comprehensive review of our internal platform's adherence to MediConn's coding standards during Q1 2024. As part of our commitment to providing secure and compliant digital healthcare services, it is essential that we regularly and rigorously assess our cybersecurity systems. This document, prepared by the cybersecurity specialist, focuses on the modules reviewed and their compliance levels.</w:t>
      </w:r>
    </w:p>
    <w:p/>
    <w:p>
      <w:pPr>
        <w:pStyle w:val="Heading2"/>
      </w:pPr>
      <w:r>
        <w:t>Overview of Module Audit Process</w:t>
      </w:r>
    </w:p>
    <w:p/>
    <w:p>
      <w:r>
        <w:t>The module audit process at MediConn Solutions begins with the selection of a random sample of platform modules for review. Each selected module is then thoroughly examined by our cybersecurity team to ensure that it adheres to our stringent coding standards. This process is typically completed within a 30-day period, with a comprehensive audit report generated upon completion.</w:t>
      </w:r>
    </w:p>
    <w:p/>
    <w:p>
      <w:pPr>
        <w:pStyle w:val="Heading2"/>
      </w:pPr>
      <w:r>
        <w:t>Platform Module Compliance Results</w:t>
      </w:r>
    </w:p>
    <w:p/>
    <w:p>
      <w:r>
        <w:t>In 2023, our cybersecurity team reported a compliance rate of 92% across all audited platform modules. This result was a significant improvement from the previous year's compliance rate of 85%, demonstrating the efficacy of our ongoing efforts to improve our coding standards. The team's diligence has been instrumental in maintaining the security and integrity of our virtual healthcare platform.</w:t>
      </w:r>
    </w:p>
    <w:p/>
    <w:p>
      <w:pPr>
        <w:pStyle w:val="Heading2"/>
      </w:pPr>
      <w:r>
        <w:t>Recommendations for Coding Standards Improvements</w:t>
      </w:r>
    </w:p>
    <w:p/>
    <w:p>
      <w:r>
        <w:t>To further enhance the security of our platform, the cybersecurity team has recommended several improvements to our coding standards. These include the adoption of stricter password protocols, the implementation of two-factor authentication, and the integration of advanced encryption techniques. These recommendations aim to fortify our platform against potential security breaches and ensure the privacy of our users.</w:t>
      </w:r>
    </w:p>
    <w:p/>
    <w:p>
      <w:pPr>
        <w:pStyle w:val="Heading2"/>
      </w:pPr>
      <w:r>
        <w:t>Conclusion</w:t>
      </w:r>
    </w:p>
    <w:p/>
    <w:p>
      <w:r>
        <w:t>Our Q1 2024 review indicates a strong level of compliance with our coding standards across all reviewed modules. However, continual improvement is key to maintaining our standard of cybersecurity. The detailed recommendations in this report should be implemented to enhance our platform's security and ensure continued adherence to MediConn's coding standards. A follow-up audit is recommended for Q3 2024 to assess the effectiveness of implemented changes.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