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2025 Cybersecurity Review Report</w:t>
      </w:r>
    </w:p>
    <w:p/>
    <w:p>
      <w:pPr>
        <w:pStyle w:val="Heading2"/>
      </w:pPr>
      <w:r>
        <w:t>Introduction</w:t>
      </w:r>
    </w:p>
    <w:p/>
    <w:p>
      <w:r>
        <w:t>This report provides an overview of our cybersecurity activities during Q2 2025, focusing on our CI/CD pipeline security. As part of MediConn Solutions' commitment to maintaining robust cybersecurity defences, regular internal reviews are conducted. This document outlines the key activities, participation, and outcomes of these reviews.</w:t>
      </w:r>
    </w:p>
    <w:p/>
    <w:p>
      <w:pPr>
        <w:pStyle w:val="Heading2"/>
      </w:pPr>
      <w:r>
        <w:t>Overview of CI/CD Pipeline Security Enhancements</w:t>
      </w:r>
    </w:p>
    <w:p/>
    <w:p>
      <w:r>
        <w:t>In Q3 2024, we introduced several significant enhancements to our CI/CD pipeline. This included the implementation of an advanced intrusion detection system, which has proven to be effective in mitigating potential threats by 35%. Additionally, our team upgraded the automated code review process to further ensure the security of our deployment pipeline.</w:t>
      </w:r>
    </w:p>
    <w:p/>
    <w:p>
      <w:pPr>
        <w:pStyle w:val="Heading2"/>
      </w:pPr>
      <w:r>
        <w:t>Participation in Internal Review Meetings</w:t>
      </w:r>
    </w:p>
    <w:p/>
    <w:p>
      <w:r>
        <w:t>Regular internal review meetings are held to discuss and evaluate the security of our CI/CD pipeline. These meetings involve key stakeholders from the development, operations, and security teams. They provide an opportunity to discuss potential vulnerabilities and devise strategies for improvement.</w:t>
      </w:r>
    </w:p>
    <w:p/>
    <w:p>
      <w:pPr>
        <w:pStyle w:val="Heading2"/>
      </w:pPr>
      <w:r>
        <w:t>Summary of Identified Security Vulnerabilities</w:t>
      </w:r>
    </w:p>
    <w:p/>
    <w:p>
      <w:r>
        <w:t>Our regular audits in the past year have identified a total of 20 security vulnerabilities in our pipeline. Of these, 15 were identified as medium-risk and have since been addressed, while the remaining 5 are currently being looked into by our dedicated security team.</w:t>
      </w:r>
    </w:p>
    <w:p/>
    <w:p>
      <w:pPr>
        <w:pStyle w:val="Heading2"/>
      </w:pPr>
      <w:r>
        <w:t>Conclusion</w:t>
      </w:r>
    </w:p>
    <w:p/>
    <w:p>
      <w:r>
        <w:t>Our internal review meetings in Q2 2025 yielded valuable insights into our CI/CD pipeline security. The active participation of our cybersecurity specialists notably contributed to the identification of potential vulnerabilities and areas for improvement. Moving forward, continued engagement of these specialists in such reviews is recommended. Our collective efforts will ensure MediConn Solutions remains at the forefront of secure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