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Securing MediConn: Ransomware Mitigation Strategy</w:t>
      </w:r>
    </w:p>
    <w:p/>
    <w:p>
      <w:pPr>
        <w:pStyle w:val="Heading2"/>
      </w:pPr>
      <w:r>
        <w:t>Introduction</w:t>
      </w:r>
    </w:p>
    <w:p/>
    <w:p>
      <w:r>
        <w:t>As we navigate the increasingly digital landscape of healthcare, cybersecurity has become a crucial task that extends beyond the IT department. This document outlines the architectural and procedural controls we must adopt to minimize the impact of potential ransomware attacks. The aim is to ensure the clinical continuity of MediConn Solutions, even during an extended loss of services from one of our third-party providers. This strategy is imperative to protect our patients, our reputation, and our bottom line.</w:t>
      </w:r>
    </w:p>
    <w:p/>
    <w:p>
      <w:pPr>
        <w:pStyle w:val="Heading2"/>
      </w:pPr>
      <w:r>
        <w:t>Architectural Measures for Enhanced Cybersecurity</w:t>
      </w:r>
    </w:p>
    <w:p/>
    <w:p>
      <w:r>
        <w:t>Within the first quarter of 2024, our team dedicated resources to bolstering the security of MediConn's virtual healthcare services. We conducted a series of full-scale penetration tests, completing a total of five separate assessments. These tests were comprehensive, examining both our internal systems and any potential vulnerabilities introduced through our third-party partners. This proactive approach allowed us to identify and address potential weak points before they could be exploited, securing MediConn's platform against the increase in ransomware attacks affecting the healthcare industry.</w:t>
      </w:r>
    </w:p>
    <w:p/>
    <w:p>
      <w:pPr>
        <w:pStyle w:val="Heading2"/>
      </w:pPr>
      <w:r>
        <w:t>Procedural Controls for Ransomware Mitigation</w:t>
      </w:r>
    </w:p>
    <w:p/>
    <w:p>
      <w:r>
        <w:t>In 2025, MediConn Solutions introduced stringent password management policies. We mandated that all passwords must be a minimum of 12 characters, include a combination of upper and lower-case letters, numbers, and special characters. We also enforced regular password changes every 90 days, reducing the likelihood of password breaches. This initiative has led to a 20% decrease in unauthorized access attempts.</w:t>
      </w:r>
    </w:p>
    <w:p/>
    <w:p>
      <w:pPr>
        <w:pStyle w:val="Heading2"/>
      </w:pPr>
      <w:r>
        <w:t>Maintaining Clinical Continuity Amidst Third-Party Service Interruptions</w:t>
      </w:r>
    </w:p>
    <w:p/>
    <w:p>
      <w:r>
        <w:t>During the annual IT audit in 2025, we identified that our reliance on third-party service providers was creating potential risks to our business continuity. As a result, we decided to conduct bi-annual risk assessments of our key third-party providers. This allows us to understand their security measures and ensure that they are compliant with our stringent security standards. This proactive approach has helped us avoid any major service disruptions so far.</w:t>
      </w:r>
    </w:p>
    <w:p/>
    <w:p>
      <w:pPr>
        <w:pStyle w:val="Heading2"/>
      </w:pPr>
      <w:r>
        <w:t>Conclusion</w:t>
      </w:r>
    </w:p>
    <w:p/>
    <w:p>
      <w:r>
        <w:t>Implementing robust architectural and procedural controls is a proactive step towards safeguarding MediConn Solutions from ransomware threats. By ensuring that our systems are resilient, we can minimize disruption to our services and maintain clinical continuity. This document should serve as a strategic foundation, but it requires ongoing review and adjustment as threats evolve. The next step is to engage relevant stakeholders for feedback and validation, followed by an organization-wide rollout.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