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2025 Cybersecurity Infrastructure Update Report</w:t>
      </w:r>
    </w:p>
    <w:p/>
    <w:p>
      <w:pPr>
        <w:pStyle w:val="Heading2"/>
      </w:pPr>
      <w:r>
        <w:t>Introduction</w:t>
      </w:r>
    </w:p>
    <w:p/>
    <w:p>
      <w:r>
        <w:t>This report aims to provide an overview of the cybersecurity enhancements undertaken in Q2 2025. Specifically, it focuses on the updates conducted on our internal endpoints supporting MediConn’s virtual healthcare platform. The document sheds light on our efforts to maintain robust security measures, ensuring the privacy and trust of our patients and partners.</w:t>
      </w:r>
    </w:p>
    <w:p/>
    <w:p>
      <w:pPr>
        <w:pStyle w:val="Heading2"/>
      </w:pPr>
      <w:r>
        <w:t>Endpoint Security Measures Overview</w:t>
      </w:r>
    </w:p>
    <w:p/>
    <w:p>
      <w:r>
        <w:t>In 2024, MediConn Solutions implemented a robust endpoint protection platform (EPP) to secure our internal systems. The EPP is equipped with advanced threat protection capabilities like machine learning algorithms to detect sophisticated cyber threats. This software is monitored by our dedicated IT team and is designed to protect the integrity of our virtual healthcare platform.</w:t>
      </w:r>
    </w:p>
    <w:p/>
    <w:p>
      <w:pPr>
        <w:pStyle w:val="Heading2"/>
      </w:pPr>
      <w:r>
        <w:t>Malware Signature Database Upgrade</w:t>
      </w:r>
    </w:p>
    <w:p/>
    <w:p>
      <w:r>
        <w:t>MediConn Solutions upgrades its malware signature database biannually. The process involves a systematic review of the existing database, a thorough analysis of new malware threats, and the incorporation of new signatures into the system. This routine helps us maintain a high level of protection for our digital platforms.</w:t>
      </w:r>
    </w:p>
    <w:p/>
    <w:p>
      <w:pPr>
        <w:pStyle w:val="Heading2"/>
      </w:pPr>
      <w:r>
        <w:t>Impact Analysis of the Security Updates</w:t>
      </w:r>
    </w:p>
    <w:p/>
    <w:p>
      <w:r>
        <w:t>Following every security update, an impact analysis is conducted to assess the effectiveness of the changes. In 2024, these analyses demonstrated a 15% decrease in identified threats across our digital platforms. This data confirms the importance of regular security updates in maintaining the integrity of our systems.</w:t>
      </w:r>
    </w:p>
    <w:p/>
    <w:p>
      <w:pPr>
        <w:pStyle w:val="Heading2"/>
      </w:pPr>
      <w:r>
        <w:t>Conclusion</w:t>
      </w:r>
    </w:p>
    <w:p/>
    <w:p>
      <w:r>
        <w:t>The upgrades performed in Q2 2025 further fortified our cybersecurity infrastructure, assuring the safety of our virtual healthcare platform. The update of the malware signature database across all internal endpoints was a significant part of this effort. It is crucial to continue such enhancements to stay ahead of potential cyber threats. Recommendations for future security improvements will be prepared based on the impact analysis of the recent updates.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