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HHS CPGs Integration for Cybersecure Healthcare</w:t>
      </w:r>
    </w:p>
    <w:p/>
    <w:p>
      <w:pPr>
        <w:pStyle w:val="Heading2"/>
      </w:pPr>
      <w:r>
        <w:t>Introduction</w:t>
      </w:r>
    </w:p>
    <w:p/>
    <w:p>
      <w:r>
        <w:t>As the digital healthcare landscape evolves, so too does the complexity of cyber threats. Therefore, it is crucial for MediConn Solutions to stay ahead by integrating the HHS Cybersecurity Performance Goals (CPGs) into our virtual healthcare platforms. This document will outline the approach to ensure our systems and third-party vendors comply with these standards, while effectively mitigating emerging cyber threats.</w:t>
      </w:r>
    </w:p>
    <w:p/>
    <w:p>
      <w:pPr>
        <w:pStyle w:val="Heading2"/>
      </w:pPr>
      <w:r>
        <w:t>Approach Towards HHS CPG Integration</w:t>
      </w:r>
    </w:p>
    <w:p/>
    <w:p>
      <w:r>
        <w:t>MediConn Solutions has always been committed to adhering to regulatory standards in the virtual healthcare sector. Back in 2023, we integrated the NIST Cybersecurity Framework into our security protocols which greatly enhanced our cybersecurity posture. We are planning to undertake a major system upgrade in Q3 2025, which will further strengthen our security infrastructure.</w:t>
      </w:r>
    </w:p>
    <w:p/>
    <w:p>
      <w:pPr>
        <w:pStyle w:val="Heading2"/>
      </w:pPr>
      <w:r>
        <w:t>Managing Third-Party Vendor Compliance</w:t>
      </w:r>
    </w:p>
    <w:p/>
    <w:p>
      <w:r>
        <w:t>In 2023, we introduced a comprehensive vendor management program to ensure that our third-party associates comply with our robust cybersecurity standards. We conduct regular vendor audits and risk assessments to identify and address any potential vulnerabilities in their systems. As of Q1 2024, we have seen a 20% improvement in third-party vendor compliance compared to the previous year.</w:t>
      </w:r>
    </w:p>
    <w:p/>
    <w:p>
      <w:pPr>
        <w:pStyle w:val="Heading2"/>
      </w:pPr>
      <w:r>
        <w:t>Review of Current Cybersecurity Posture</w:t>
      </w:r>
    </w:p>
    <w:p/>
    <w:p>
      <w:r>
        <w:t>In the third quarter of 2025, our team undertook significant measures to fortify the security profile of MediConn's virtual healthcare platform. An integral part of this strategy was the enhancement of our incident response mechanisms, which included the revision of three specific playbooks in compliance with the Health and Human Services (HHS) Cybersecurity Performance Goals (CPGs). This initiative aimed to bolster the platform's resilience against potential security events and align our cybersecurity responses with recognized industry standards. These revisions are part of our ongoing commitment to ensure cybersecurity readiness and proactively mitigate the risks of cyber threats.</w:t>
      </w:r>
    </w:p>
    <w:p/>
    <w:p>
      <w:pPr>
        <w:pStyle w:val="Heading2"/>
      </w:pPr>
      <w:r>
        <w:t>Conclusion</w:t>
      </w:r>
    </w:p>
    <w:p/>
    <w:p>
      <w:r>
        <w:t>By leveraging the outlined approach, MediConn Solutions is well-positioned to integrate HHS CPGs into its system, strengthening the cybersecurity posture. Ensuring compliance among third-party vendors is also key to our end-to-end security. Moving forward, regular audits and updates to our cybersecurity strategy should be conducted to stay ahead of emerging threats. Our commitment to a secure, user-friendly, and compliant virtual healthcare platform continues to be our top priority.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