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Quarterly Cybersecurity Account Review Analysis</w:t>
      </w:r>
    </w:p>
    <w:p/>
    <w:p>
      <w:pPr>
        <w:pStyle w:val="Heading2"/>
      </w:pPr>
      <w:r>
        <w:t>Introduction</w:t>
      </w:r>
    </w:p>
    <w:p/>
    <w:p>
      <w:r>
        <w:t>As part of our ongoing commitment to maintaining a secure and compliant virtual healthcare platform, this document provides an in-depth review of our cybersecurity operations for the third quarter of 2025. This includes an analysis of privileged account reviews conducted during this period. The insights derived will help in enhancing our security protocols and ensuring our users' information remains secure.</w:t>
      </w:r>
    </w:p>
    <w:p/>
    <w:p>
      <w:pPr>
        <w:pStyle w:val="Heading2"/>
      </w:pPr>
      <w:r>
        <w:t>Assessment of Privileged Account Protocols</w:t>
      </w:r>
    </w:p>
    <w:p/>
    <w:p>
      <w:r>
        <w:t>Since the inception of MediConn, we have implemented a stringent protocol to manage privileged accounts. Our Information Security Department conducts bi-annual reviews to ensure regulatory compliance. In the last review conducted on April 15, 2025, 98% of privileged accounts met the established standards.</w:t>
      </w:r>
    </w:p>
    <w:p/>
    <w:p>
      <w:pPr>
        <w:pStyle w:val="Heading2"/>
      </w:pPr>
      <w:r>
        <w:t>Analysis of Q3 2025 Account Reviews</w:t>
      </w:r>
    </w:p>
    <w:p/>
    <w:p>
      <w:r>
        <w:t>Our Q3 2025 account review focused primarily on regular user accounts. We identified an increase of 7% in the number of inactive accounts compared to the previous quarter. Our team deactivated 108 of these dormant accounts to maintain system integrity.</w:t>
      </w:r>
    </w:p>
    <w:p/>
    <w:p>
      <w:pPr>
        <w:pStyle w:val="Heading2"/>
      </w:pPr>
      <w:r>
        <w:t>Potential Risks and Mitigation Strategies</w:t>
      </w:r>
    </w:p>
    <w:p/>
    <w:p>
      <w:r>
        <w:t>In the realm of virtual healthcare, the most prevalent risks relate to patient data privacy. In response, we have implemented a robust encryption protocol and two-step verification for all users. A contingency plan is also in place to address any potential data breaches.</w:t>
      </w:r>
    </w:p>
    <w:p/>
    <w:p>
      <w:pPr>
        <w:pStyle w:val="Heading2"/>
      </w:pPr>
      <w:r>
        <w:t>Conclusion</w:t>
      </w:r>
    </w:p>
    <w:p/>
    <w:p>
      <w:r>
        <w:t>In conclusion, our Q3 2025 privileged account review process has shown a robust commitment to cybersecurity. Continuous improvements in our security protocols have been instrumental in protecting user data. Moving forward, we will continue to evolve our practices based on the insights derived from these reviews. Recommendations for enhancing our security measures will be implemented in the next quarter to ensure the continued safety of our digital healthcare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