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Verification of MFA in MediConn Platform</w:t>
      </w:r>
    </w:p>
    <w:p/>
    <w:p>
      <w:pPr>
        <w:pStyle w:val="Heading2"/>
      </w:pPr>
      <w:r>
        <w:t>Introduction</w:t>
      </w:r>
    </w:p>
    <w:p/>
    <w:p>
      <w:r>
        <w:t>This report provides an overview of the security verification process conducted by our cybersecurity specialist for MediConn's virtual healthcare platform staff. It aims to highlight the importance of multi-factor authentication (MFA) in ensuring the security of our digital platforms. The period of review is from January 1 to June 30, 2025. The report is vital for understanding our security measures and for identifying potential areas of improvement.</w:t>
      </w:r>
    </w:p>
    <w:p/>
    <w:p>
      <w:pPr>
        <w:pStyle w:val="Heading2"/>
      </w:pPr>
      <w:r>
        <w:t>Overview of MFA Implementation</w:t>
      </w:r>
    </w:p>
    <w:p/>
    <w:p>
      <w:r>
        <w:t>MediConn began implementing MFA security measures in early 2024 to enhance the safety of our virtual healthcare platform. The process involved collaboration between IT and HR departments to ensure smooth employee transition. By the end of 2024, over 98% of MediConn employees were equipped with MFA-enabled logins.</w:t>
      </w:r>
    </w:p>
    <w:p/>
    <w:p>
      <w:pPr>
        <w:pStyle w:val="Heading2"/>
      </w:pPr>
      <w:r>
        <w:t>MFA Verification Process and Results</w:t>
      </w:r>
    </w:p>
    <w:p/>
    <w:p>
      <w:r>
        <w:t>The MFA verification process involves the use of unique codes generated via approved mobile applications. Our cybersecurity specialist regularly conducts spot-checks, ensuring compliance with security protocols. As of December 2024, there have been zero instances of security breaches due to failed MFA verification.</w:t>
      </w:r>
    </w:p>
    <w:p/>
    <w:p>
      <w:pPr>
        <w:pStyle w:val="Heading2"/>
      </w:pPr>
      <w:r>
        <w:t>Recommendations for Enhanced Security</w:t>
      </w:r>
    </w:p>
    <w:p/>
    <w:p>
      <w:r>
        <w:t>Despite the success of our MFA implementation, we continually strive for improved security measures. Future plans include the potential adoption of biometric authentication methods by Q4 2026. This would further strengthen our platform's security and patient confidentiality.</w:t>
      </w:r>
    </w:p>
    <w:p/>
    <w:p>
      <w:pPr>
        <w:pStyle w:val="Heading2"/>
      </w:pPr>
      <w:r>
        <w:t>Conclusion</w:t>
      </w:r>
    </w:p>
    <w:p/>
    <w:p>
      <w:r>
        <w:t>The report has provided an in-depth review of our MFA implementation, verification results, and suggested strategies for enhanced security. It is evident that MFA plays a crucial role in safeguarding our digital platforms. Moving forward, it is recommended to frequently update the security measures based on the latest technology trends and threats. The commitment to continuous improvement will help us maintain the trust of our patients and business partners.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