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Ransomware Defense Strategies for Healthcare Platforms</w:t>
      </w:r>
    </w:p>
    <w:p/>
    <w:p>
      <w:pPr>
        <w:pStyle w:val="Heading2"/>
      </w:pPr>
      <w:r>
        <w:t>Introduction</w:t>
      </w:r>
    </w:p>
    <w:p/>
    <w:p>
      <w:r>
        <w:t>As MediConn Solutions continues to pioneer in the virtual healthcare sector, it faces new cybersecurity challenges. One significant threat is the rise of coordinated ransomware attacks, potentially facilitated by foreign nation-state cyber actors. This document outlines strategies to defend our virtual healthcare platform against such attacks, ensuring the uninterrupted access to clinical systems and patient safety.</w:t>
      </w:r>
    </w:p>
    <w:p/>
    <w:p>
      <w:pPr>
        <w:pStyle w:val="Heading2"/>
      </w:pPr>
      <w:r>
        <w:t>Current Cyber Threat Landscape in Healthcare</w:t>
      </w:r>
    </w:p>
    <w:p/>
    <w:p>
      <w:r>
        <w:t>The cybersecurity landscape in healthcare is increasingly complex and adversarial, with foreign nation-state actors coordinating ransomware attacks on healthcare systems. In response to these threats, our team has been diligently working to fortify MediConn's virtual healthcare systems. As of September 30, 2025, we have successfully deployed Endpoint Detection and Response (EDR) solutions across 85% of our core systems, including telehealth, e-prescription and clinical communication platforms. Given the current rate of progress, we project to achieve full integration of EDR across all systems by February 15, 2026.</w:t>
      </w:r>
    </w:p>
    <w:p/>
    <w:p>
      <w:pPr>
        <w:pStyle w:val="Heading2"/>
      </w:pPr>
      <w:r>
        <w:t>Enhancing MediConn's Cyber Defense Infrastructure</w:t>
      </w:r>
    </w:p>
    <w:p/>
    <w:p>
      <w:r>
        <w:t>In July 2025, we initiated a comprehensive upgrade to MediConn's cyber defense infrastructure. We introduced more robust firewalls, implemented stronger encryption methods, and expanded our intrusion detection system. Additionally, we extended our security awareness training to all departments to foster a culture of vigilance.</w:t>
      </w:r>
    </w:p>
    <w:p/>
    <w:p>
      <w:pPr>
        <w:pStyle w:val="Heading2"/>
      </w:pPr>
      <w:r>
        <w:t>Mitigating Risks from Foreign Nation-State Actors</w:t>
      </w:r>
    </w:p>
    <w:p/>
    <w:p>
      <w:r>
        <w:t>MediConn has always been proactive in addressing potential cyber threats. In 2024, we partnered with a global intelligence firm to keep abreast of potential nation-state cyber threats. Despite the increasing complexities, we've managed to keep our systems secure by staying one step ahead of potential threats.</w:t>
      </w:r>
    </w:p>
    <w:p/>
    <w:p>
      <w:pPr>
        <w:pStyle w:val="Heading2"/>
      </w:pPr>
      <w:r>
        <w:t>Conclusion</w:t>
      </w:r>
    </w:p>
    <w:p/>
    <w:p>
      <w:r>
        <w:t>In an era where ransomware attacks are escalating, MediConn needs robust cybersecurity measures to protect our virtual healthcare platform. Enhancing our cyber defense infrastructure and understanding the threat landscape are essential first steps. We also need targeted strategies to mitigate risks from foreign nation-state actors. These measures will ensure our platform's resilience, safeguarding our patients' data and access to 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