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Defending Virtual Health Platforms: Cybersecurity Report 2026</w:t>
      </w:r>
    </w:p>
    <w:p/>
    <w:p>
      <w:pPr>
        <w:pStyle w:val="Heading2"/>
      </w:pPr>
      <w:r>
        <w:t>Introduction</w:t>
      </w:r>
    </w:p>
    <w:p/>
    <w:p>
      <w:r>
        <w:t>Ransomware attacks, particularly those facilitated by foreign nation-state cyber threat actors, pose a significant threat to our virtual healthcare platform. This report outlines our proposed strategy to maintain the security and reliability of MediConn Solutions' services. Our goal is to ensure uninterrupted access to our clinical systems and safeguard patient data, even in the face of such sophisticated threats.</w:t>
      </w:r>
    </w:p>
    <w:p/>
    <w:p>
      <w:pPr>
        <w:pStyle w:val="Heading2"/>
      </w:pPr>
      <w:r>
        <w:t>Enhanced Security Measures for Virtual Health Platforms</w:t>
      </w:r>
    </w:p>
    <w:p/>
    <w:p>
      <w:r>
        <w:t>In 2025, we upgraded our firewalls and implemented multi-factor authentication across all user accounts. We've also rolled out a new encryption protocol for data at rest and in transit. These measures have significantly reduced our attack surface and improved our overall security posture.</w:t>
      </w:r>
    </w:p>
    <w:p/>
    <w:p>
      <w:pPr>
        <w:pStyle w:val="Heading2"/>
      </w:pPr>
      <w:r>
        <w:t>Implementing Advanced Threat Intelligence &amp; Response</w:t>
      </w:r>
    </w:p>
    <w:p/>
    <w:p>
      <w:r>
        <w:t>In April 2026, we collaborated with the Cyber Threat Intelligence Network to enhance our threat intelligence capabilities. This partnership allows us to stay updated on the latest malware trends and threat actors. We've also deployed automated incident response tools to speed up our detection and mitigation processes.</w:t>
      </w:r>
    </w:p>
    <w:p/>
    <w:p>
      <w:pPr>
        <w:pStyle w:val="Heading2"/>
      </w:pPr>
      <w:r>
        <w:t>Current State of Cyber Threat Landscape</w:t>
      </w:r>
    </w:p>
    <w:p/>
    <w:p>
      <w:r>
        <w:t>As part of MediConn’s cybersecurity strategy to fortify our virtual healthcare platform against increasing threats, we are implementing a robust training roadmap. Commencing from October 10, 2025, this initiative includes the execution of phishing-simulation drills every quarter for all staff members aiming to enhance their ability to detect and respond to potential cyberattacks. Furthermore, by August 15, 2026, we plan to broaden the scale of our security-awareness certification program to encompass both clinical and IT departments. Our goal is to significantly reduce the average time it takes to report a cyber incident from the current 45 minutes to less than 10 minutes.</w:t>
      </w:r>
    </w:p>
    <w:p/>
    <w:p>
      <w:pPr>
        <w:pStyle w:val="Heading2"/>
      </w:pPr>
      <w:r>
        <w:t>Conclusion</w:t>
      </w:r>
    </w:p>
    <w:p/>
    <w:p>
      <w:r>
        <w:t>The evolving cyber threat landscape requires us to stay one step ahead. By understanding the current threat environment, enhancing our security measures, and implementing advanced threat intelligence, we can effectively safeguard our platforms. This will ensure the continuity of our services and protect the safety of our patients. I recommend we move forward with the outlined strategic approach to bolstering our cybersecurity.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