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Fleet Manager Service Interaction Analysis</w:t>
      </w:r>
    </w:p>
    <w:p/>
    <w:p>
      <w:pPr>
        <w:pStyle w:val="Heading2"/>
      </w:pPr>
      <w:r>
        <w:t>Introduction</w:t>
      </w:r>
    </w:p>
    <w:p/>
    <w:p>
      <w:r>
        <w:t>This document aims to provide a comprehensive overview of our interactions with government fleet managers. It will delve into the frequency of contact, the primary concerns raised, and the subsequent impact on Elexion Automotive's service support structure. It is essential to align our support capabilities with the needs of these critical stakeholders to bolster our reputation for excellent customer service and reliability.</w:t>
      </w:r>
    </w:p>
    <w:p/>
    <w:p>
      <w:pPr>
        <w:pStyle w:val="Heading2"/>
      </w:pPr>
      <w:r>
        <w:t>Overview of Government Fleet Manager Interactions</w:t>
      </w:r>
    </w:p>
    <w:p/>
    <w:p>
      <w:r>
        <w:t>Elexion Automotive has established a robust interaction mechanism with government fleet managers since 2021. These interactions primarily revolve around discussing new product launches, vehicle performance metrics, and regulatory compliance. In 2023, we noted a 15% increase in interactions, largely driven by the introduction of our new mid-range model.</w:t>
      </w:r>
    </w:p>
    <w:p/>
    <w:p>
      <w:pPr>
        <w:pStyle w:val="Heading2"/>
      </w:pPr>
      <w:r>
        <w:t>Categorization of Primary Concerns Raised</w:t>
      </w:r>
    </w:p>
    <w:p/>
    <w:p>
      <w:r>
        <w:t>Over the years, several concerns have been raised by government fleet managers, with many focusing on battery life and vehicle range. Additionally, there's been consistent interest in the integration of our vehicles with existing transportation infrastructure. In 2024, we saw a surge in queries related to fleet management software compatibility.</w:t>
      </w:r>
    </w:p>
    <w:p/>
    <w:p>
      <w:pPr>
        <w:pStyle w:val="Heading2"/>
      </w:pPr>
      <w:r>
        <w:t>Impact on Elexion Automotive's Service Support</w:t>
      </w:r>
    </w:p>
    <w:p/>
    <w:p>
      <w:r>
        <w:t>The interaction with government fleet managers has greatly influenced our service support operations. In response to feedback, we've streamlined our troubleshooting procedures and ramped up our technical support team by 20% in 2024. Furthermore, we've started offering extended warranty options for government fleets.</w:t>
      </w:r>
    </w:p>
    <w:p/>
    <w:p>
      <w:pPr>
        <w:pStyle w:val="Heading2"/>
      </w:pPr>
      <w:r>
        <w:t>Conclusion</w:t>
      </w:r>
    </w:p>
    <w:p/>
    <w:p>
      <w:r>
        <w:t>Understanding the frequency and nature of government fleet manager interactions is crucial for refining our service support system. Our analysis shows that specific areas require attention to meet our clients' needs effectively. Going forward, we should focus on addressing these highlighted concerns and frequently evaluate our progress. This proactive approach will ensure we maintain a strong relationship with our government clientele and uphold our commitment to user-centric service.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