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H1 Customer Satisfaction Survey Analysis</w:t>
      </w:r>
    </w:p>
    <w:p/>
    <w:p>
      <w:pPr>
        <w:pStyle w:val="Heading2"/>
      </w:pPr>
      <w:r>
        <w:t>Introduction</w:t>
      </w:r>
    </w:p>
    <w:p/>
    <w:p>
      <w:r>
        <w:t>As part of our ongoing commitment to enhancing customer experience and satisfaction, Elexion Automotive conducted a customer satisfaction survey in the first half of 2025. The purpose of this document is to present the participation level and provide insights into the feedback received. This analysis will inform our strategies in customer engagement, product development, and service improvement.</w:t>
      </w:r>
    </w:p>
    <w:p/>
    <w:p>
      <w:pPr>
        <w:pStyle w:val="Heading2"/>
      </w:pPr>
      <w:r>
        <w:t>Trends in Customer Participation</w:t>
      </w:r>
    </w:p>
    <w:p/>
    <w:p>
      <w:r>
        <w:t>In the second quarter of 2024, we saw a significant uptick in customer engagement with our online platforms. 35% more customers logged into their Elexion accounts compared to the previous quarter. This increased online activity was concurrent with the launch of our new digital customer service initiatives.</w:t>
      </w:r>
    </w:p>
    <w:p/>
    <w:p>
      <w:pPr>
        <w:pStyle w:val="Heading2"/>
      </w:pPr>
      <w:r>
        <w:t>Analysis of Customer Feedback</w:t>
      </w:r>
    </w:p>
    <w:p/>
    <w:p>
      <w:r>
        <w:t>The feedback received from our customers has been instrumental in shaping our product development strategies. In 2024, customers rated our EVs highly for their innovative technology and environmental consciousness. However, we did find some areas for improvement, particularly in making our user interfaces more intuitive.</w:t>
      </w:r>
    </w:p>
    <w:p/>
    <w:p>
      <w:pPr>
        <w:pStyle w:val="Heading2"/>
      </w:pPr>
      <w:r>
        <w:t>Demographics of Participating Customers</w:t>
      </w:r>
    </w:p>
    <w:p/>
    <w:p>
      <w:r>
        <w:t>The demographics of our active customers skew towards the age group of 25-40, with a higher proportion of males. This demographic is more likely to engage with our online platforms and participate in digital campaigns. They also represent a significant portion of our sales in the mid-range EV segment.</w:t>
      </w:r>
    </w:p>
    <w:p/>
    <w:p>
      <w:pPr>
        <w:pStyle w:val="Heading2"/>
      </w:pPr>
      <w:r>
        <w:t>Conclusion</w:t>
      </w:r>
    </w:p>
    <w:p/>
    <w:p>
      <w:r>
        <w:t>The participation in our customer satisfaction survey program has provided us with valuable insights into our customers’ sentiments. Understanding the demographics of our participants can guide our targeted marketing and product strategies. The feedback received will drive our efforts in improving the customer experience. Therefore, it is essential to continue these surveys and act on the feedback received.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