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Q4 2024 Customer Service Performance Analysis</w:t>
      </w:r>
    </w:p>
    <w:p/>
    <w:p>
      <w:pPr>
        <w:pStyle w:val="Heading2"/>
      </w:pPr>
      <w:r>
        <w:t>Introduction</w:t>
      </w:r>
    </w:p>
    <w:p/>
    <w:p>
      <w:r>
        <w:t>This document provides an analysis of our customer service performance during Q4 2024. It aims to highlight our response times, customer satisfaction rates, and areas for improvement. This information is crucial for enhancing our customer service operations and ultimately driving customer retention and loyalty.</w:t>
      </w:r>
    </w:p>
    <w:p/>
    <w:p>
      <w:pPr>
        <w:pStyle w:val="Heading2"/>
      </w:pPr>
      <w:r>
        <w:t>Overview of Q4 2024 Customer Inquiries</w:t>
      </w:r>
    </w:p>
    <w:p/>
    <w:p>
      <w:r>
        <w:t>In Q4 2024, Elexion Automotive's customer service department received an influx of inquiries, a 15% increase from the previous quarter. These inquiries were broadly categorized into product-related questions, technical support, and billing issues. The majority of these questions, approximately 60%, were related to product features and specifications.</w:t>
      </w:r>
    </w:p>
    <w:p/>
    <w:p>
      <w:pPr>
        <w:pStyle w:val="Heading2"/>
      </w:pPr>
      <w:r>
        <w:t>Analysis of Customer Service Response Time</w:t>
      </w:r>
    </w:p>
    <w:p/>
    <w:p>
      <w:r>
        <w:t>In 2023, we implemented a new customer service system that significantly improved our response times. The system uses intelligent automation to streamline query routing and prioritization, leading to increased efficiency. As a result, we observed an overall reduction in response times across all types of inquiries.</w:t>
      </w:r>
    </w:p>
    <w:p/>
    <w:p>
      <w:pPr>
        <w:pStyle w:val="Heading2"/>
      </w:pPr>
      <w:r>
        <w:t>Assessment of Customer Satisfaction Rates</w:t>
      </w:r>
    </w:p>
    <w:p/>
    <w:p>
      <w:r>
        <w:t>Customer satisfaction rates remained stable in Q4 2024, with a minor fluctuation of 0.5% compared to the previous quarter. We attribute this stability to our consistent product quality and proactive customer support. Our highest-rated department was our technical support team, garnering a satisfaction rate of 92%.</w:t>
      </w:r>
    </w:p>
    <w:p/>
    <w:p>
      <w:pPr>
        <w:pStyle w:val="Heading2"/>
      </w:pPr>
      <w:r>
        <w:t>Conclusion</w:t>
      </w:r>
    </w:p>
    <w:p/>
    <w:p>
      <w:r>
        <w:t>The Q4 2024 analysis reveals key insights into our customer service performance and areas for improvement. It is clear that our response times and satisfaction rates are significant indicators of our customer service effectiveness. Moving forward, these insights will guide our efforts to enhance our customer engagement strategies and improve our service delivery. Our goal is to maintain a high level of customer satisfaction and cultivate a stronger relationship with our clientele.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