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Showroom Impact on Sales Conversion</w:t>
      </w:r>
    </w:p>
    <w:p/>
    <w:p>
      <w:pPr>
        <w:pStyle w:val="Heading2"/>
      </w:pPr>
      <w:r>
        <w:t>Introduction</w:t>
      </w:r>
    </w:p>
    <w:p/>
    <w:p>
      <w:r>
        <w:t>As part of our ongoing effort to improve sales efficiency and customer experience, Elexion Automotive implemented a virtual showroom feature in 2024. This document aims to analyze the impact of this feature on sales conversion rates and provide insights for future digital strategy planning. This analysis is crucial for understanding customer behavior and refining our sales strategies.</w:t>
      </w:r>
    </w:p>
    <w:p/>
    <w:p>
      <w:pPr>
        <w:pStyle w:val="Heading2"/>
      </w:pPr>
      <w:r>
        <w:t>Overview of Virtual Showroom Implementation</w:t>
      </w:r>
    </w:p>
    <w:p/>
    <w:p>
      <w:r>
        <w:t>The implementation of the virtual showroom in May 2024 was a cross-functional effort involving our IT, Marketing, and Customer Experience teams. The project, which took approximately six months to complete, included phases such as requirement gathering, design, development, and user testing. The platform was built using cutting-edge technologies such as augmented reality and machine learning to provide a seamless and immersive experience for our customers.</w:t>
      </w:r>
    </w:p>
    <w:p/>
    <w:p>
      <w:pPr>
        <w:pStyle w:val="Heading2"/>
      </w:pPr>
      <w:r>
        <w:t>Analysis of Sales Conversion Rates Post-Implementation</w:t>
      </w:r>
    </w:p>
    <w:p/>
    <w:p>
      <w:r>
        <w:t>Following the implementation of the virtual showroom, our Analytics Department conducted a comprehensive review of site traffic and user engagement metrics. They observed an increase in the average time spent by users on the website and an uptick in repeat visits. However, these metrics do not necessarily correlate with sales conversion rates.</w:t>
      </w:r>
    </w:p>
    <w:p/>
    <w:p>
      <w:pPr>
        <w:pStyle w:val="Heading2"/>
      </w:pPr>
      <w:r>
        <w:t>Customer Feedback and Interaction with Virtual Showroom</w:t>
      </w:r>
    </w:p>
    <w:p/>
    <w:p>
      <w:r>
        <w:t>Since the launch of our virtual showroom, we have received a significant amount of feedback from customers. The majority of users appreciated the interactive features and intuitive user interface. We also found that the number of customer inquiries related to vehicle specifications and features increased by 15% post-implementation.</w:t>
      </w:r>
    </w:p>
    <w:p/>
    <w:p>
      <w:pPr>
        <w:pStyle w:val="Heading2"/>
      </w:pPr>
      <w:r>
        <w:t>Conclusion</w:t>
      </w:r>
    </w:p>
    <w:p/>
    <w:p>
      <w:r>
        <w:t>The virtual showroom has proven to be a vital tool in our sales strategy, positively impacting conversion rates. The data collected provides valuable insights into customer behavior and preferences. Based on these findings, we recommend further enhancement of the virtual showroom and other digital engagement methods. This will help us continue to improve customer experience and sales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