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2025 Sales Incentive Trip Evaluation Report</w:t>
      </w:r>
    </w:p>
    <w:p/>
    <w:p>
      <w:pPr>
        <w:pStyle w:val="Heading2"/>
      </w:pPr>
      <w:r>
        <w:t>Introduction</w:t>
      </w:r>
    </w:p>
    <w:p/>
    <w:p>
      <w:r>
        <w:t>As part of our annual performance evaluation, we've analyzed the qualification data for our annual sales incentive trip for 2025. This report provides an in-depth look at the performance of our sales representatives and how many have met the qualifying criteria. It aims to identify trends and patterns and propose future strategies to improve overall sales performance.</w:t>
      </w:r>
    </w:p>
    <w:p/>
    <w:p>
      <w:pPr>
        <w:pStyle w:val="Heading2"/>
      </w:pPr>
      <w:r>
        <w:t>2025 Sales Performance Overview</w:t>
      </w:r>
    </w:p>
    <w:p/>
    <w:p>
      <w:r>
        <w:t>In 2025, Elexion Automotive witnessed a significant uptick in sales, with a growth of 15% compared to the previous year. This was primarily due to the successful launch of our mid-range electric vehicle models. Our California and Texas branches particularly drove this surge, contributing to over 60% of the total sales.</w:t>
      </w:r>
    </w:p>
    <w:p/>
    <w:p>
      <w:pPr>
        <w:pStyle w:val="Heading2"/>
      </w:pPr>
      <w:r>
        <w:t>Analysis of Incentive Trip Qualification</w:t>
      </w:r>
    </w:p>
    <w:p/>
    <w:p>
      <w:r>
        <w:t>Our incentive trip qualification process is designed to reward our top-performing sales representatives. The qualification parameters revolve around exceeding 120% of the annual sales quota, customer satisfaction ratings, and product knowledge. These criteria have been effective in motivating our sales teams and fostering healthy competition.</w:t>
      </w:r>
    </w:p>
    <w:p/>
    <w:p>
      <w:pPr>
        <w:pStyle w:val="Heading2"/>
      </w:pPr>
      <w:r>
        <w:t>Recommendations for Future Sales Strategies</w:t>
      </w:r>
    </w:p>
    <w:p/>
    <w:p>
      <w:r>
        <w:t>Moving forward, our sales strategy should emphasize more on the mid-western and eastern markets, where electric vehicle adoption is growing. Additionally, we should increase our focus on after-sales services which could improve our customer retention rate. Our marketing department is also planning to launch new campaigns aimed at millennials and Gen Z consumers.</w:t>
      </w:r>
    </w:p>
    <w:p/>
    <w:p>
      <w:pPr>
        <w:pStyle w:val="Heading2"/>
      </w:pPr>
      <w:r>
        <w:t>Conclusion</w:t>
      </w:r>
    </w:p>
    <w:p/>
    <w:p>
      <w:r>
        <w:t>Our analysis reveals significant insights about our sales team's performance in 2025 and the incentive trip qualification. Moving forward, we must focus on improving the performance of those not qualifying for the trip. Our future strategies should aim at promoting healthy competition and greater incentives, thereby potentially improving overall sales and profitability.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