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2025 Sales Territory Performance Analysis</w:t>
      </w:r>
    </w:p>
    <w:p/>
    <w:p>
      <w:pPr>
        <w:pStyle w:val="Heading2"/>
      </w:pPr>
      <w:r>
        <w:t>Introduction</w:t>
      </w:r>
    </w:p>
    <w:p/>
    <w:p>
      <w:r>
        <w:t>As part of our ongoing efforts to optimize sales performance and meet our ambitious growth targets, this report aims to assess and compare the performance of our top and bottom sales territories in 2025. The objective is to identify key factors contributing to the variance and strategize on how to leverage or mitigate them respectively. This analysis will provide a valuable perspective for our sales and marketing strategies moving forward.</w:t>
      </w:r>
    </w:p>
    <w:p/>
    <w:p>
      <w:pPr>
        <w:pStyle w:val="Heading2"/>
      </w:pPr>
      <w:r>
        <w:t>Detailed Overview of 2025 Sales by Territory</w:t>
      </w:r>
    </w:p>
    <w:p/>
    <w:p>
      <w:r>
        <w:t>In 2025, Elexion Automotive saw a significant increase in its sales across all territories. The North East region, in particular, reported a growth rate of 7.8% YOY. The South East region, on the other hand, faced a slight downturn with a -2.1% growth rate. The company's overall sales growth for 2025 was recorded at 4.3%.</w:t>
      </w:r>
    </w:p>
    <w:p/>
    <w:p>
      <w:pPr>
        <w:pStyle w:val="Heading2"/>
      </w:pPr>
      <w:r>
        <w:t>Market Conditions and Sales Strategies in 2025</w:t>
      </w:r>
    </w:p>
    <w:p/>
    <w:p>
      <w:r>
        <w:t>The market conditions in 2025 saw an increased demand for electric vehicles, largely due to heightened environmental awareness. In response to this, Elexion Automotive implemented a sales strategy focused on promoting its commitment to sustainability. This involved a major marketing campaign, including TV commercials and social media advertising, highlighting the company's eco-friendly electric vehicles.</w:t>
      </w:r>
    </w:p>
    <w:p/>
    <w:p>
      <w:pPr>
        <w:pStyle w:val="Heading2"/>
      </w:pPr>
      <w:r>
        <w:t>Insights on Performance Variance between Territories</w:t>
      </w:r>
    </w:p>
    <w:p/>
    <w:p>
      <w:r>
        <w:t>Over the course of 2025, we observed a variety of performance trends across our sales territories. Factors such as regional policies, local infrastructure, and competitor activity played significant roles in determining these trends. For example, the West Coast territories experienced an influx of competitor brands, which led to an overall tougher market.</w:t>
      </w:r>
    </w:p>
    <w:p/>
    <w:p>
      <w:pPr>
        <w:pStyle w:val="Heading2"/>
      </w:pPr>
      <w:r>
        <w:t>Conclusion</w:t>
      </w:r>
    </w:p>
    <w:p/>
    <w:p>
      <w:r>
        <w:t>The analysis underscores the importance of understanding the nuances of each territory, their market conditions, and how these elements impact our sales performance. It is essential to leverage the strengths of our top-performing territories and address the challenges in the lower-performing ones. By doing so, we can ensure a comprehensive and effective sales strategy that caters to the unique demands of each territory and drives our company towards our zero-emission transportation goals.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