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Direct-to-Customer Sales Strategy Impact Analysis</w:t>
      </w:r>
    </w:p>
    <w:p/>
    <w:p>
      <w:pPr>
        <w:pStyle w:val="Heading2"/>
      </w:pPr>
      <w:r>
        <w:t>Introduction</w:t>
      </w:r>
    </w:p>
    <w:p/>
    <w:p>
      <w:r>
        <w:t>As Elexion Automotive evolves towards a fully direct-to-customer sales model by 2026, it is paramount we understand the potential implications on our sales cycle, conversion rates, as well as average revenue per customer across states with franchise laws. This document presents an in-depth analysis of these factors, alongside an evaluation of our current sales operations processes. The insights herein will help us make informed decisions and shape our sales strategy moving forward.</w:t>
      </w:r>
    </w:p>
    <w:p/>
    <w:p>
      <w:pPr>
        <w:pStyle w:val="Heading2"/>
      </w:pPr>
      <w:r>
        <w:t>Sales Cycle Dynamics in Direct-to-Customer Model</w:t>
      </w:r>
    </w:p>
    <w:p/>
    <w:p>
      <w:r>
        <w:t>As we analyze the transition to a direct-to-customer sales model, it is critical to note the baseline data to measure future performance against. In the third quarter of 2024, our traditional dealership model recorded an average of 29 days from the initial point of contact with the customer to the completion of the purchase. This duration encapsulates the entire sales process, from the customer's first interaction with our brand to the finalization of the sale. Understanding this benchmark will allow us to assess the efficiency of the direct-to-customer model once implemented, and measure its impact on our sales cycle duration.</w:t>
      </w:r>
    </w:p>
    <w:p/>
    <w:p>
      <w:pPr>
        <w:pStyle w:val="Heading2"/>
      </w:pPr>
      <w:r>
        <w:t>Impact on Customer Conversion Rates</w:t>
      </w:r>
    </w:p>
    <w:p/>
    <w:p>
      <w:r>
        <w:t>Our customer service department has made significant strides in improving customer engagement. In the past year, they have implemented a series of initiatives aimed at improving the customer experience, including extended call center hours and enhanced online live chat functionality. These changes have led to a 15% improvement in customer satisfaction ratings, which we believe may positively impact our conversion rates moving forward.</w:t>
      </w:r>
    </w:p>
    <w:p/>
    <w:p>
      <w:pPr>
        <w:pStyle w:val="Heading2"/>
      </w:pPr>
      <w:r>
        <w:t>Revenue Per Customer Analysis</w:t>
      </w:r>
    </w:p>
    <w:p/>
    <w:p>
      <w:r>
        <w:t>Our finance department has been closely monitoring trends in customer spending habits. Over the past two years, there has been a consistent increase in the number of customers opting for our premium vehicle models, contributing to a 5% rise in average spending per customer transaction. This trend towards premium models might be attributed to the increasing consumer preference for high-end electric vehicles.</w:t>
      </w:r>
    </w:p>
    <w:p/>
    <w:p>
      <w:pPr>
        <w:pStyle w:val="Heading2"/>
      </w:pPr>
      <w:r>
        <w:t>Conclusion</w:t>
      </w:r>
    </w:p>
    <w:p/>
    <w:p>
      <w:r>
        <w:t>The shift to a direct-to-customer model will inevitably bring about changes in our sales cycle, conversion rates, and average revenue per customer. Understanding these variables will help us calibrate our sales processes and CRM systems to optimize performance. The insights provided in this document should be leveraged to inform our business decisions and shape Elexion's future sales strategies. Moving forward, we should continue monitoring these metrics to ensure our direct-to-customer model remains effective and profitable.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