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Direct-to-Customer Sales Model Impact</w:t>
      </w:r>
    </w:p>
    <w:p/>
    <w:p>
      <w:pPr>
        <w:pStyle w:val="Heading2"/>
      </w:pPr>
      <w:r>
        <w:t>Introduction</w:t>
      </w:r>
    </w:p>
    <w:p/>
    <w:p>
      <w:r>
        <w:t>As Elexion Automotive transitions to a complete direct-to-customer sales model by 2026, it's imperative to understand the potential impact on our sales cycle duration, conversion rates, and average revenue per customer. This report provides a deep-dive analysis into the projected changes and the strategies we need to adopt to ensure a successful transition. The report also explores the implications of franchise laws across the United States on this direct-to-customer sales model.</w:t>
      </w:r>
    </w:p>
    <w:p/>
    <w:p>
      <w:pPr>
        <w:pStyle w:val="Heading2"/>
      </w:pPr>
      <w:r>
        <w:t>Impact on Average Revenue per Customer</w:t>
      </w:r>
    </w:p>
    <w:p/>
    <w:p>
      <w:r>
        <w:t>In Q3 2019, there was a significant increase in our average revenue per customer due to the successful launch of our premium electric vehicle model. The model was well-received by our customers, with over 2,500 units sold in the first month itself. This led to a 25% increase in our average revenue per customer for that quarter.</w:t>
      </w:r>
    </w:p>
    <w:p/>
    <w:p>
      <w:pPr>
        <w:pStyle w:val="Heading2"/>
      </w:pPr>
      <w:r>
        <w:t>Projected Changes in Sales Cycle and Conversion Rates</w:t>
      </w:r>
    </w:p>
    <w:p/>
    <w:p>
      <w:r>
        <w:t>Given the sales data from 2024, we observed a notable attrition rate after initial customer engagement at our dealerships. Specifically, only around a quarter, or precisely 28%, of clients who partook in test drives at Elexion Automotive dealerships went on to finalize a purchase within the subsequent 60-day period. This significant drop-off post-test drive suggests potential room for improvement in our sales conversion process. As we transition to a direct-to-customer sales model by 2026, it is imperative to address these challenges to ensure an efficient sales cycle and improved conversion rates.</w:t>
      </w:r>
    </w:p>
    <w:p/>
    <w:p>
      <w:pPr>
        <w:pStyle w:val="Heading2"/>
      </w:pPr>
      <w:r>
        <w:t>Compliance with Franchise Laws Across States</w:t>
      </w:r>
    </w:p>
    <w:p/>
    <w:p>
      <w:r>
        <w:t>Our legal team has worked extensively to ensure our operations align with franchise laws in each state. As of 2021, we have successfully registered as a franchisor in over 40 states. Our team continues to work on compliance in the remaining states, with the goal of achieving nationwide compliance by 2023.</w:t>
      </w:r>
    </w:p>
    <w:p/>
    <w:p>
      <w:pPr>
        <w:pStyle w:val="Heading2"/>
      </w:pPr>
      <w:r>
        <w:t>Conclusion</w:t>
      </w:r>
    </w:p>
    <w:p/>
    <w:p>
      <w:r>
        <w:t>The transition to a direct-to-customer sales model will undoubtedly bring about significant changes in our sales operations, particularly in terms of sales cycle duration, conversion rates, and average revenue per customer. It is crucial we prepare for these changes to ensure a smooth transition and to maintain our industry-leading position. Equally important is our compliance with franchise laws across various states. The next step would be to formulate a comprehensive action plan, which will be shared with all stakeholders in the coming weeks.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