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Direct-to-Customer Sales Impact Analysis</w:t>
      </w:r>
    </w:p>
    <w:p/>
    <w:p>
      <w:pPr>
        <w:pStyle w:val="Heading2"/>
      </w:pPr>
      <w:r>
        <w:t>Introduction</w:t>
      </w:r>
    </w:p>
    <w:p/>
    <w:p>
      <w:r>
        <w:t>As Elexion Automotive continues to innovate in the electric vehicle market, a new strategic direction has been proposed: transitioning to a complete direct-to-customer sales model by 2026. This document presents an analysis of the potential impact of this strategic shift on our sales cycle duration, conversion rates, and average revenue per customer. The outcomes of this analysis will be instrumental in informing our sales strategies and tactics while ensuring alignment with the company's overarching vision and mission.</w:t>
      </w:r>
    </w:p>
    <w:p/>
    <w:p>
      <w:pPr>
        <w:pStyle w:val="Heading2"/>
      </w:pPr>
      <w:r>
        <w:t>Analysis of Current Franchise-based Sales Model</w:t>
      </w:r>
    </w:p>
    <w:p/>
    <w:p>
      <w:r>
        <w:t>In our current dealership network that spans across North America, we have a strong sales force of nearly 1,740 representatives as of August 2025. This considerable workforce has been instrumental in driving our current sales model and engaging with our clientele. Transitioning to a direct-to-customer sales model by 2026 will undoubtedly necessitate a strategic realignment of these resources. The shift could impact key business metrics including sales cycle duration, conversion rates, and average revenue per customer, considering the significant role our sales representatives play in our existing model.</w:t>
      </w:r>
    </w:p>
    <w:p/>
    <w:p>
      <w:pPr>
        <w:pStyle w:val="Heading2"/>
      </w:pPr>
      <w:r>
        <w:t>Impact on Sales Operations and Processes</w:t>
      </w:r>
    </w:p>
    <w:p/>
    <w:p>
      <w:r>
        <w:t>Our sales operations are currently designed to support and manage relationships with dealerships across the United States. This involves coordinating with the logistics department to ensure timely deliveries and maintaining a robust CRM system to track and manage these relationships. In 2021, we have invested 15% more in tech infrastructure to streamline these processes.</w:t>
      </w:r>
    </w:p>
    <w:p/>
    <w:p>
      <w:pPr>
        <w:pStyle w:val="Heading2"/>
      </w:pPr>
      <w:r>
        <w:t>Estimated Financial Implications of Direct Sales</w:t>
      </w:r>
    </w:p>
    <w:p/>
    <w:p>
      <w:r>
        <w:t>The shift from a dealership model to a direct sales model will require initial capital investment. This will primarily go towards developing a robust e-commerce platform, enhancing our logistics capabilities, and training our sales force to seamlessly handle direct customer interactions. We anticipate that these investments will represent approximately 20% of our revenue in the first year of this transition.</w:t>
      </w:r>
    </w:p>
    <w:p/>
    <w:p>
      <w:pPr>
        <w:pStyle w:val="Heading2"/>
      </w:pPr>
      <w:r>
        <w:t>Conclusion</w:t>
      </w:r>
    </w:p>
    <w:p/>
    <w:p>
      <w:r>
        <w:t>As we prepare for this strategic shift, it's important to understand the potential impact on our sales operations, customer relationships, and financial outcomes. We anticipate considerable changes in our sales cycle duration, conversion rates, and average revenue per customer. This report provides the foundation to further discussions and strategic planning. Our next step is to develop a comprehensive implementation plan to ensure smooth transition while maximizing sales performance and customer satisfaction.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