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Impact of Direct-to-Customer Model on Sales</w:t>
      </w:r>
    </w:p>
    <w:p/>
    <w:p>
      <w:pPr>
        <w:pStyle w:val="Heading2"/>
      </w:pPr>
      <w:r>
        <w:t>Introduction</w:t>
      </w:r>
    </w:p>
    <w:p/>
    <w:p>
      <w:r>
        <w:t>As Elexion Automotive seeks to transition to a complete direct-to-consumer sales model by 2026, it's critical we understand its potential impact on our sales cycle duration, conversion rates, and average revenue per customer. This document will provide a comprehensive analysis of these factors across the United States, with a particular focus on regions with stringent franchise laws. By understanding this, we can better align our sales strategies and operations with the anticipated changes.</w:t>
      </w:r>
    </w:p>
    <w:p/>
    <w:p>
      <w:pPr>
        <w:pStyle w:val="Heading2"/>
      </w:pPr>
      <w:r>
        <w:t>Analysis of Current Sales Cycle and Conversion Rates</w:t>
      </w:r>
    </w:p>
    <w:p/>
    <w:p>
      <w:r>
        <w:t>Our sales operations' analysis as of July 2025 reveals certain limitations within our existing Customer Relationship Management (CRM) system. Specifically, it has been architected towards the management of dealership networks, and thus, lacks the requisite capabilities for a fully direct-to-customer sales model. A transition to such a system would necessitate significant overhaul or replacement to accommodate direct customer interaction and transaction processing. This can potentially impact our sales cycle duration, conversion rates, and average revenue per customer as we adapt to this new model.</w:t>
      </w:r>
    </w:p>
    <w:p/>
    <w:p>
      <w:pPr>
        <w:pStyle w:val="Heading2"/>
      </w:pPr>
      <w:r>
        <w:t>Impact of Direct Sales on Customer Acquisition Cost</w:t>
      </w:r>
    </w:p>
    <w:p/>
    <w:p>
      <w:r>
        <w:t>Our customer acquisition cost (CAC) has steadily decreased over the past five years due to our efforts to refine our marketing strategies. In 2020, our CAC was $375 per customer, a 15% decrease from 2019. This trend can be attributed to our increasing focus on digital marketing and the rising popularity of electric vehicles.</w:t>
      </w:r>
    </w:p>
    <w:p/>
    <w:p>
      <w:pPr>
        <w:pStyle w:val="Heading2"/>
      </w:pPr>
      <w:r>
        <w:t>Regulatory Implications of Direct-to-Customer Sales</w:t>
      </w:r>
    </w:p>
    <w:p/>
    <w:p>
      <w:r>
        <w:t>We must ensure that we adhere to all relevant laws and regulations when implementing a direct sales model. In the past, our legal department has successfully navigated various regulatory landscapes and we anticipate that they will be able to handle any potential legal challenges. As a company, we always strive to work within the framework of existing laws.</w:t>
      </w:r>
    </w:p>
    <w:p/>
    <w:p>
      <w:pPr>
        <w:pStyle w:val="Heading2"/>
      </w:pPr>
      <w:r>
        <w:t>Conclusion</w:t>
      </w:r>
    </w:p>
    <w:p/>
    <w:p>
      <w:r>
        <w:t>Transitioning to a direct-to-customer sales model presents significant challenges and opportunities. Based on our analysis, we need to prepare for potential changes in our sales cycle duration, conversion rates, and customer acquisition costs. It's crucial we engage with legal teams early to navigate the regulatory landscape, particularly in regions with strict franchise laws. I recommend we initiate a cross-functional task force to operationalize these findings and begin preparing for this transition.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