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Dealer Engagement Strategy</w:t>
      </w:r>
    </w:p>
    <w:p/>
    <w:p>
      <w:pPr>
        <w:pStyle w:val="Heading2"/>
      </w:pPr>
      <w:r>
        <w:t>Introduction</w:t>
      </w:r>
    </w:p>
    <w:p/>
    <w:p>
      <w:r>
        <w:t>In alignment with Elexion Automotive's core value of fostering strong business relationships, we have established quarterly business meetings with our top-performing dealers. These meetings serve as a platform to discuss sales performance, market trends, and align our strategies with dealer feedback. This document aims to provide insights into the decision-making process, the outcomes, and the future direction of these meetings.</w:t>
      </w:r>
    </w:p>
    <w:p/>
    <w:p>
      <w:pPr>
        <w:pStyle w:val="Heading2"/>
      </w:pPr>
      <w:r>
        <w:t>Evolution of Dealer Engagement Strategies</w:t>
      </w:r>
    </w:p>
    <w:p/>
    <w:p>
      <w:r>
        <w:t>Elexion Automotive has always prioritized robust dealer engagement. In 2021, we introduced an annual dealer conference, bringing together our top dealers to discuss industry trends and our upcoming vehicle models. This initiative saw a 20% increase in dealer participation and generated a positive response in terms of feedback and increased sales.</w:t>
      </w:r>
    </w:p>
    <w:p/>
    <w:p>
      <w:pPr>
        <w:pStyle w:val="Heading2"/>
      </w:pPr>
      <w:r>
        <w:t>Establishment of Quarterly Business Meetings</w:t>
      </w:r>
    </w:p>
    <w:p/>
    <w:p>
      <w:r>
        <w:t>The advent of our quarterly business meetings has brought about a significant change in our approach to dealer relationships. Initiated with the aim of fostering better communication and collaboration, these meetings have been instrumental in identifying potential areas of improvement and strategizing for growth. However, the specific details of its inception and the related schedule are internally managed and confidential.</w:t>
      </w:r>
    </w:p>
    <w:p/>
    <w:p>
      <w:pPr>
        <w:pStyle w:val="Heading2"/>
      </w:pPr>
      <w:r>
        <w:t>Future Directions for Dealer Collaborations</w:t>
      </w:r>
    </w:p>
    <w:p/>
    <w:p>
      <w:r>
        <w:t>Moving forward, Elexion Automotive is exploring various avenues to strengthen dealer collaborations. We are considering the implementation of a new dealer recognition program and a digital platform for seamless communication. These strategies aim to enhance dealer relationships and facilitate a more efficient exchange of information and ideas.</w:t>
      </w:r>
    </w:p>
    <w:p/>
    <w:p>
      <w:pPr>
        <w:pStyle w:val="Heading2"/>
      </w:pPr>
      <w:r>
        <w:t>Conclusion</w:t>
      </w:r>
    </w:p>
    <w:p/>
    <w:p>
      <w:r>
        <w:t>Our move to hold quarterly meetings with top-performing dealers has been instrumental in strengthening dealer relationships and refining our market strategies. We are confident that these meetings will continue to be a valuable platform for dialogue and collaboration. Going forward, we anticipate further refining the meeting structure based on dealer feedback and market needs. We look forward to the continued growth and success of Elexion Automotive and our valued dealer partners.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