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Digital Asset Management Progress Report</w:t>
      </w:r>
    </w:p>
    <w:p/>
    <w:p>
      <w:pPr>
        <w:pStyle w:val="Heading2"/>
      </w:pPr>
      <w:r>
        <w:t>Introduction</w:t>
      </w:r>
    </w:p>
    <w:p/>
    <w:p>
      <w:r>
        <w:t>As part of our ongoing commitment to operational efficiency and transparency, this report provides an update on the status of our centralized digital asset registry. Specifically, it focuses on software assets and maintenance contracts under the purview of our Asset Lifecycle Management team led by Olivia Martinez. It aims to keep stakeholders abreast of our progress and key milestones achieved up to Q3 2025.</w:t>
      </w:r>
    </w:p>
    <w:p/>
    <w:p>
      <w:pPr>
        <w:pStyle w:val="Heading2"/>
      </w:pPr>
      <w:r>
        <w:t>Software Asset Centralization: Progress and Challenges</w:t>
      </w:r>
    </w:p>
    <w:p/>
    <w:p>
      <w:r>
        <w:t>In Q1 2024, we underwent a significant initiative to consolidate and centralize our software assets. The goal was to streamline operations and improve efficiency across the various departments. We faced numerous challenges, including resistance from some teams and technical issues, but we were able to overcome these by Q2 2024.</w:t>
      </w:r>
    </w:p>
    <w:p/>
    <w:p>
      <w:pPr>
        <w:pStyle w:val="Heading2"/>
      </w:pPr>
      <w:r>
        <w:t>Maintenance Contract Digitalization: Steps Forward</w:t>
      </w:r>
    </w:p>
    <w:p/>
    <w:p>
      <w:r>
        <w:t>As of Q2 2025, the digitization of maintenance contracts was in full swing, with 80% of contracts successfully transitioned into the digital format. This process was supported by the IT department and served to expedite the resolution of maintenance-related issues. We anticipate full digitization by Q4 2025.</w:t>
      </w:r>
    </w:p>
    <w:p/>
    <w:p>
      <w:pPr>
        <w:pStyle w:val="Heading2"/>
      </w:pPr>
      <w:r>
        <w:t>Asset Lifecycle Management: Q3 2025 Status Update</w:t>
      </w:r>
    </w:p>
    <w:p/>
    <w:p>
      <w:r>
        <w:t>As we moved into Q3 2025, the focus of asset lifecycle management shifted towards optimizing our hardware utilization rates. We aimed to reduce underutilization by 15%, with strategies including better forecasting of demand and reallocating assets where they could be better utilized.</w:t>
      </w:r>
    </w:p>
    <w:p/>
    <w:p>
      <w:pPr>
        <w:pStyle w:val="Heading2"/>
      </w:pPr>
      <w:r>
        <w:t>Conclusion</w:t>
      </w:r>
    </w:p>
    <w:p/>
    <w:p>
      <w:r>
        <w:t>The Asset Lifecycle Management team has made substantial progress towards the centralization of our digital asset registry. However, some challenges remain, particularly in the digitization of maintenance contracts. We remain committed to overcoming these challenges to ensure full implementation by our set timeline. Further updates will be communicated as we continue to move forward in this strategic initiative.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