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Q4 Battery Recycling and Production Efficiency Report</w:t>
      </w:r>
    </w:p>
    <w:p/>
    <w:p>
      <w:pPr>
        <w:pStyle w:val="Heading2"/>
      </w:pPr>
      <w:r>
        <w:t>Introduction</w:t>
      </w:r>
    </w:p>
    <w:p/>
    <w:p>
      <w:r>
        <w:t>This report reviews our Q4 2024 operations with a focus on the impact of our in-house battery recycling initiative. The aim is to understand its effect on overall production efficiency, in line with our commitment to sustainable practices and operational excellence. We will explore ancillary topics to provide a comprehensive view of the matter.</w:t>
      </w:r>
    </w:p>
    <w:p/>
    <w:p>
      <w:pPr>
        <w:pStyle w:val="Heading2"/>
      </w:pPr>
      <w:r>
        <w:t>Q4 Battery Recycling Processing Summary</w:t>
      </w:r>
    </w:p>
    <w:p/>
    <w:p>
      <w:r>
        <w:t>In Q4, Elexion Automotive processed approximately 1,000 tons of spent batteries through our recycling initiative. This initiative was primarily focused on sourcing raw materials from our own waste stream. With a state-of-the-art facility specifically designed for this purpose, we have successfully streamlined the complex battery recycling process.</w:t>
      </w:r>
    </w:p>
    <w:p/>
    <w:p>
      <w:pPr>
        <w:pStyle w:val="Heading2"/>
      </w:pPr>
      <w:r>
        <w:t>Operational Efficiency Metrics and Observations</w:t>
      </w:r>
    </w:p>
    <w:p/>
    <w:p>
      <w:r>
        <w:t>During Q4, we observed a 7% decrease in machine downtime compared to Q3, primarily due to regular preventive maintenance. Our production line's effective rate of operation reached a historical high of 92%. The automation of certain manual tasks contributed to an improvement in overall operational efficiency.</w:t>
      </w:r>
    </w:p>
    <w:p/>
    <w:p>
      <w:pPr>
        <w:pStyle w:val="Heading2"/>
      </w:pPr>
      <w:r>
        <w:t>Sustainability Impact of Battery Recycling</w:t>
      </w:r>
    </w:p>
    <w:p/>
    <w:p>
      <w:r>
        <w:t>Our Q4 battery recycling initiative contributed to a 15% reduction in our overall carbon footprint compared to the previous quarter. The initiative aligns with our commitment to sustainability and our goal to achieve carbon neutrality by 2030. Our customers appreciate our efforts and this has strengthened our brand image in the marketplace.</w:t>
      </w:r>
    </w:p>
    <w:p/>
    <w:p>
      <w:pPr>
        <w:pStyle w:val="Heading2"/>
      </w:pPr>
      <w:r>
        <w:t>Conclusion</w:t>
      </w:r>
    </w:p>
    <w:p/>
    <w:p>
      <w:r>
        <w:t>The Q4 2024 observations suggest a tangible impact of our in-house battery recycling initiative on overall production efficiency. As we continue to refine our processes, these insights will guide our strategic planning. It's imperative to keep sustainability at the forefront while pursuing operational improvements. Future steps will focus on enhancing recycling processes and exploring avenues for further production efficiency gains.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