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University Collaboration Report</w:t>
      </w:r>
    </w:p>
    <w:p/>
    <w:p>
      <w:pPr>
        <w:pStyle w:val="Heading2"/>
      </w:pPr>
      <w:r>
        <w:t>Introduction</w:t>
      </w:r>
    </w:p>
    <w:p/>
    <w:p>
      <w:r>
        <w:t>As part of Elexion Automotive's commitment to innovation and sustainability, we continually engage with academia to drive research and development. This report outlines our university collaborations for Q1 2025, detailing the partners involved, the nature of the projects, and the strategic benefits realized.</w:t>
      </w:r>
    </w:p>
    <w:p/>
    <w:p>
      <w:pPr>
        <w:pStyle w:val="Heading2"/>
      </w:pPr>
      <w:r>
        <w:t>Overview of Academic Partnerships</w:t>
      </w:r>
    </w:p>
    <w:p/>
    <w:p>
      <w:r>
        <w:t>Elexion has historically invested heavily in academic partnerships to foster innovation. Our collaboration with academic institutions began in 2020, and we saw a 35% increase in research productivity within the first two years. Our R&amp;D department is central to this initiative, ensuring we stay at the cutting edge of electric vehicle technology.</w:t>
      </w:r>
    </w:p>
    <w:p/>
    <w:p>
      <w:pPr>
        <w:pStyle w:val="Heading2"/>
      </w:pPr>
      <w:r>
        <w:t>Impact of Collaborative Research Initiatives</w:t>
      </w:r>
    </w:p>
    <w:p/>
    <w:p>
      <w:r>
        <w:t>Our research partnerships have led to several breakthroughs in EV technology. In 2023, we introduced a new battery design that increased vehicle range by 20%. This was a direct result of a research initiative with a leading university. Our commitment to these collaborations continues to drive our success in the competitive EV market.</w:t>
      </w:r>
    </w:p>
    <w:p/>
    <w:p>
      <w:pPr>
        <w:pStyle w:val="Heading2"/>
      </w:pPr>
      <w:r>
        <w:t>Strategic Benefits and Future Prospects</w:t>
      </w:r>
    </w:p>
    <w:p/>
    <w:p>
      <w:r>
        <w:t>Elexion's academic partnerships provide us with a strategic advantage in the fast-evolving EV market. Our plan for 2026 is to increase our collaboration with universities by 15% to harness the potential of emerging technologies. This will enable us to maintain our leading position in the industry and achieve our sustainability goals.</w:t>
      </w:r>
    </w:p>
    <w:p/>
    <w:p>
      <w:pPr>
        <w:pStyle w:val="Heading2"/>
      </w:pPr>
      <w:r>
        <w:t>Conclusion</w:t>
      </w:r>
    </w:p>
    <w:p/>
    <w:p>
      <w:r>
        <w:t>Our collaborations with universities in Q1 2025 have fostered valuable knowledge exchange, driving innovation and sustainability in our product line. As we move forward, we will continue to leverage these partnerships to maintain our competitive edge. It is recommended to explore further collaborations with institutions specializing in user-centric technology and cross-border compliance. Continued investment in these partnerships will ensure Elexion remains at the forefront of the electric vehicle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