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Supplier Partnership Analysis - Electronic Sensors</w:t>
      </w:r>
    </w:p>
    <w:p/>
    <w:p>
      <w:pPr>
        <w:pStyle w:val="Heading2"/>
      </w:pPr>
      <w:r>
        <w:t>Introduction</w:t>
      </w:r>
    </w:p>
    <w:p/>
    <w:p>
      <w:r>
        <w:t>As part of Elexion Automotive's ongoing commitment to operational excellence, we have conducted an analysis of our supplier partnerships for electronic sensor components. This report offers an insight into the number of active partnerships, the quality assurance measures they adhere to, and the strategic alignment of these partnerships with our sustainability goals.</w:t>
      </w:r>
    </w:p>
    <w:p/>
    <w:p>
      <w:pPr>
        <w:pStyle w:val="Heading2"/>
      </w:pPr>
      <w:r>
        <w:t>Quality Control Measures in Supplier Partnerships</w:t>
      </w:r>
    </w:p>
    <w:p/>
    <w:p>
      <w:r>
        <w:t>Elexion Automotive has implemented robust quality control measures in its supplier partnerships. Regular audits are performed biannually to ensure adherence to our stringent quality standards. As of November 1, 2025, we've noted a 98% compliance rate across all supplier partnerships.</w:t>
      </w:r>
    </w:p>
    <w:p/>
    <w:p>
      <w:pPr>
        <w:pStyle w:val="Heading2"/>
      </w:pPr>
      <w:r>
        <w:t>Active Supplier Partnerships for Electronic Sensors</w:t>
      </w:r>
    </w:p>
    <w:p/>
    <w:p>
      <w:r>
        <w:t>The sensor technology in our electric vehicles is a critical aspect of our product offering. We've launched a new Supplier Partnership Program in 2025 to further strengthen our relationships with sensor suppliers and promote continued innovation. The program has been positively received by our supplier community.</w:t>
      </w:r>
    </w:p>
    <w:p/>
    <w:p>
      <w:pPr>
        <w:pStyle w:val="Heading2"/>
      </w:pPr>
      <w:r>
        <w:t>Sustainability Compliance of Sensor Suppliers</w:t>
      </w:r>
    </w:p>
    <w:p/>
    <w:p>
      <w:r>
        <w:t>Elexion Automotive places a high priority on sustainability. Since 2022, we have mandated that all our sensor suppliers adhere to specific sustainability guidelines. Compliance is tracked through our Sustainability Compliance Department, which reported a 95% adherence rate as of November 1, 2025.</w:t>
      </w:r>
    </w:p>
    <w:p/>
    <w:p>
      <w:pPr>
        <w:pStyle w:val="Heading2"/>
      </w:pPr>
      <w:r>
        <w:t>Conclusion</w:t>
      </w:r>
    </w:p>
    <w:p/>
    <w:p>
      <w:r>
        <w:t>A robust understanding of our supplier partnerships for electronic sensor components is crucial to maintain our position as a leader in electric vehicle manufacturing. Our active partnerships, coupled with stringent quality measures and sustainability compliance, ensure we deliver superior products. Further strengthening these partnerships and aligning them more closely with our corporate goals could drive additional growth. Detailed action plans will be discussed in the upcoming operational meetings.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