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Electric Vehicle Battery Procurement Strategy 2026</w:t>
      </w:r>
    </w:p>
    <w:p/>
    <w:p>
      <w:pPr>
        <w:pStyle w:val="Heading2"/>
      </w:pPr>
      <w:r>
        <w:t>Introduction</w:t>
      </w:r>
    </w:p>
    <w:p/>
    <w:p>
      <w:r>
        <w:t>As we prepare for the future of Elexion Automotive, understanding the landscape of electric vehicle battery sourcing is of paramount importance. This report delves into the current trends in battery pricing, supply chain dynamics, and regional material availability as highlighted in the 2024 IEA report. Our aim is to formulate an optimized battery sourcing strategy that upholds our commitment to cost efficiency and production resilience. The insights presented herein will guide our strategic planning and decision-making processes through to Q1 2026.</w:t>
      </w:r>
    </w:p>
    <w:p/>
    <w:p>
      <w:pPr>
        <w:pStyle w:val="Heading2"/>
      </w:pPr>
      <w:r>
        <w:t>Evaluation of Current Supply Chain Dynamics</w:t>
      </w:r>
    </w:p>
    <w:p/>
    <w:p>
      <w:r>
        <w:t>Our supply chain currently involves sourcing batteries from three major suppliers located in China, South Korea, and Canada. An internal audit in Q3 2025 revealed a 97% compliance rate with our stringent quality control standards. We also noted a 15% year-on-year improvement in delivery times from our Asian suppliers, contributing to smoother production flow.</w:t>
      </w:r>
    </w:p>
    <w:p/>
    <w:p>
      <w:pPr>
        <w:pStyle w:val="Heading2"/>
      </w:pPr>
      <w:r>
        <w:t>Analysis of Battery Price Trends and Implications</w:t>
      </w:r>
    </w:p>
    <w:p/>
    <w:p>
      <w:r>
        <w:t>Our internal analytics reveal a notable trend within the secondary markets. By the end of Q3 2025, we had transitioned about 1,148 of our used electric vehicles into these markets across North America. A significant portion of these, approximately 35%, had their batteries refurbished before being resold or leased. This demonstrates a growing interest and potential for reusing and repurposing batteries, which could have significant implications on our battery sourcing and procurement strategy moving forward.</w:t>
      </w:r>
    </w:p>
    <w:p/>
    <w:p>
      <w:pPr>
        <w:pStyle w:val="Heading2"/>
      </w:pPr>
      <w:r>
        <w:t>Assessment of Regional Material Availability</w:t>
      </w:r>
    </w:p>
    <w:p/>
    <w:p>
      <w:r>
        <w:t>The availability of key raw materials for battery production varies significantly across regions. For instance, in 2023, Latin America accounted for 54% of the global supply of lithium, a critical component in EV batteries. Meanwhile, cobalt, another essential material, is predominantly sourced from the African continent.</w:t>
      </w:r>
    </w:p>
    <w:p/>
    <w:p>
      <w:pPr>
        <w:pStyle w:val="Heading2"/>
      </w:pPr>
      <w:r>
        <w:t>Conclusion</w:t>
      </w:r>
    </w:p>
    <w:p/>
    <w:p>
      <w:r>
        <w:t>Our in-depth exploration of battery price trends, supply chain dynamics, and regional material availability has provided valuable insights towards formulating an optimized battery sourcing strategy. We must leverage these findings to ensure production resilience and cost efficiency in our operations. Moving forward, it is recommended that cross-functional teams collaborate to operationalize these insights. This approach will ensure that Elexion Automotive remains a leader in the sustainable, user-centric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