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Internship Program Evaluation Report</w:t>
      </w:r>
    </w:p>
    <w:p/>
    <w:p>
      <w:pPr>
        <w:pStyle w:val="Heading2"/>
      </w:pPr>
      <w:r>
        <w:t>Introduction</w:t>
      </w:r>
    </w:p>
    <w:p/>
    <w:p>
      <w:r>
        <w:t>This report provides an analysis of Elexion Automotive's internship program in the past year. It includes an assessment of the number of applications received, the diversity of applicants, and the effectiveness of our recruitment strategies. The goal is to understand the current status and potential areas of improvement for our program.</w:t>
      </w:r>
    </w:p>
    <w:p/>
    <w:p>
      <w:pPr>
        <w:pStyle w:val="Heading2"/>
      </w:pPr>
      <w:r>
        <w:t>Diversity Profile of Internship Applicants</w:t>
      </w:r>
    </w:p>
    <w:p/>
    <w:p>
      <w:r>
        <w:t>In terms of diversity, our internship program continues to attract a wide array of talent. Our applicants come from various backgrounds, with 55% identifying as non-white and 45% as white. Furthermore, we've seen a 20% increase in applications from women compared to the previous year.</w:t>
      </w:r>
    </w:p>
    <w:p/>
    <w:p>
      <w:pPr>
        <w:pStyle w:val="Heading2"/>
      </w:pPr>
      <w:r>
        <w:t>Internship Recruitment Channels Effectiveness</w:t>
      </w:r>
    </w:p>
    <w:p/>
    <w:p>
      <w:r>
        <w:t>Our primary recruitment channels, including college career fairs and online job portals, have shown consistent effectiveness. College career fairs account for 60% of our applications, while online job portals account for 35%. Social media channels, despite being a newer addition, contribute to the remaining 5%.</w:t>
      </w:r>
    </w:p>
    <w:p/>
    <w:p>
      <w:pPr>
        <w:pStyle w:val="Heading2"/>
      </w:pPr>
      <w:r>
        <w:t>Annual Overview of Internship Applications</w:t>
      </w:r>
    </w:p>
    <w:p/>
    <w:p>
      <w:r>
        <w:t>Year on year, we’ve seen a steady increase in the quality of applications received. The average GPA of applicants has risen from 3.2 to 3.5 over the past three years. Moreover, more applicants are including relevant work experience on their resumes, showing a greater preparedness for internship roles.</w:t>
      </w:r>
    </w:p>
    <w:p/>
    <w:p>
      <w:pPr>
        <w:pStyle w:val="Heading2"/>
      </w:pPr>
      <w:r>
        <w:t>Conclusion</w:t>
      </w:r>
    </w:p>
    <w:p/>
    <w:p>
      <w:r>
        <w:t>Based on the analysis, our internship program has shown a significant interest from potential candidates. However, there is room for improvement in our recruitment strategies and diversity inclusion. The data gathered provides valuable insights for refining our approach in the upcoming year. Recommendations for adjusting our recruitment channels and strategies will be provided separately.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