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Battery Sourcing Strategy Amid Lithium Volatility</w:t>
      </w:r>
    </w:p>
    <w:p/>
    <w:p>
      <w:pPr>
        <w:pStyle w:val="Heading2"/>
      </w:pPr>
      <w:r>
        <w:t>Introduction</w:t>
      </w:r>
    </w:p>
    <w:p/>
    <w:p>
      <w:r>
        <w:t>In light of projected volatility in lithium prices, we must reevaluate Elexion's battery sourcing strategy to ensure our continued delivery of affordable, technology-forward EVs. By analyzing our current sourcing strategy, assessing alternative supply chain options, and understanding the potential impact on pricing, we can develop an informed approach. This report aims to provide insights on these factors, as well as recommend strategies to minimize potential negative effects.</w:t>
      </w:r>
    </w:p>
    <w:p/>
    <w:p>
      <w:pPr>
        <w:pStyle w:val="Heading2"/>
      </w:pPr>
      <w:r>
        <w:t>Alternative Supply Chain Options for Battery Production</w:t>
      </w:r>
    </w:p>
    <w:p/>
    <w:p>
      <w:r>
        <w:t>One alternative to consider for battery production is exploring partnerships with third-party manufacturers. In Q3 of 2020, 20% of our competitors outsourced battery production to reduce overhead costs. However, this approach may compromise the proprietary nature of our battery technology.</w:t>
      </w:r>
    </w:p>
    <w:p/>
    <w:p>
      <w:pPr>
        <w:pStyle w:val="Heading2"/>
      </w:pPr>
      <w:r>
        <w:t>Potential Impact of Lithium Price Volatility on Elexion's Pricing Strategy</w:t>
      </w:r>
    </w:p>
    <w:p/>
    <w:p>
      <w:r>
        <w:t>Historically, fluctuations in raw material prices have not had a significant impact on Elexion's pricing strategy. Our finance department's effective hedging strategies and long-term contracts have shielded us from short-term market volatility. For instance, steel price variations in 2018 had a negligible impact on our overall car pricing.</w:t>
      </w:r>
    </w:p>
    <w:p/>
    <w:p>
      <w:pPr>
        <w:pStyle w:val="Heading2"/>
      </w:pPr>
      <w:r>
        <w:t>Analysis of Current Lithium Sourcing Approach</w:t>
      </w:r>
    </w:p>
    <w:p/>
    <w:p>
      <w:r>
        <w:t>A key takeaway from our recent dealership audit data is the underutilization of Elexion models in high-visibility areas. We've found that a mere 42% of our partnered dealerships are displaying our models in the front-line, walk-in zones consistently. This relative absence of our vehicles in prominent areas potentially impacts our market traction and could indirectly affect our purchasing power for battery components like lithium. As we strategize for mitigating anticipated lithium price volatility in 2025, a more substantial dealership presence could strengthen our negotiation position with suppliers.</w:t>
      </w:r>
    </w:p>
    <w:p/>
    <w:p>
      <w:pPr>
        <w:pStyle w:val="Heading2"/>
      </w:pPr>
      <w:r>
        <w:t>Conclusion</w:t>
      </w:r>
    </w:p>
    <w:p/>
    <w:p>
      <w:r>
        <w:t>Given the impending lithium price volatility, adjusting our battery sourcing strategy is crucial to maintaining our competitive edge. Investigating alternative supply chains and understanding the potential impact on our pricing strategy will aid in this process. Next steps involve conducting in-depth research into these alternatives and beginning discussions with potential new suppliers. Our ability to adapt will ensure Elexion's continued success in the EV market.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