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Internal Communication Analysis</w:t>
      </w:r>
    </w:p>
    <w:p/>
    <w:p>
      <w:pPr>
        <w:pStyle w:val="Heading2"/>
      </w:pPr>
      <w:r>
        <w:t>Introduction</w:t>
      </w:r>
    </w:p>
    <w:p/>
    <w:p>
      <w:r>
        <w:t>As part of our ongoing commitment to transparency and effective communication, this report analyzes the internal communications landscape at Elexion Automotive during Q3. It focuses on the frequency and impact of newsletters, contributing to a better understanding of our internal information dissemination. The insights gathered will aid in optimizing our communication efforts and foster a more engaged workforce.</w:t>
      </w:r>
    </w:p>
    <w:p/>
    <w:p>
      <w:pPr>
        <w:pStyle w:val="Heading2"/>
      </w:pPr>
      <w:r>
        <w:t>Impact Assessment of Q3 Newsletters</w:t>
      </w:r>
    </w:p>
    <w:p/>
    <w:p>
      <w:r>
        <w:t>The Q3 newsletters were aimed at promoting our latest EV model launches and technological advancements. We saw a 15% increase in website traffic following the distribution of the newsletters, indicating a positive impact. However, it was also noted that the customer service department received a slight increase in inquiries, suggesting areas for improvement in clarity and content.</w:t>
      </w:r>
    </w:p>
    <w:p/>
    <w:p>
      <w:pPr>
        <w:pStyle w:val="Heading2"/>
      </w:pPr>
      <w:r>
        <w:t>Frequency and Timing of Internal Communications</w:t>
      </w:r>
    </w:p>
    <w:p/>
    <w:p>
      <w:r>
        <w:t>Our internal communication strategy involves a weekly team meeting and a monthly departmental meeting, complemented by emails for urgent updates. In Q3, we adjusted the timing of our meetings to better accommodate the different time zones of our global offices. Feedback from the teams suggests this has improved overall team coordination and response times.</w:t>
      </w:r>
    </w:p>
    <w:p/>
    <w:p>
      <w:pPr>
        <w:pStyle w:val="Heading2"/>
      </w:pPr>
      <w:r>
        <w:t>Employee Engagement Metrics Post-Newsletter Release</w:t>
      </w:r>
    </w:p>
    <w:p/>
    <w:p>
      <w:r>
        <w:t>After the release of our Q3 newsletters, we saw a 12% increase in employee participation in our internal discussions and brainstorming sessions. Interestingly, departments that had direct mentions in the newsletters showed a higher spike in engagement. It is clear that employees feel more involved and driven when their work is acknowledged in internal communications.</w:t>
      </w:r>
    </w:p>
    <w:p/>
    <w:p>
      <w:pPr>
        <w:pStyle w:val="Heading2"/>
      </w:pPr>
      <w:r>
        <w:t>Conclusion</w:t>
      </w:r>
    </w:p>
    <w:p/>
    <w:p>
      <w:r>
        <w:t>The data gathered in Q3 provides useful insights into our internal communication patterns and their effectiveness. While the frequency of newsletters is adequate, their impact on employee engagement suggests room for improvement. Future efforts should focus on enhancing the quality of our newsletters and optimizing their release timing for maximum employee reach and engagement.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