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CARB ZEV 2025 Compliance Assessment</w:t>
      </w:r>
    </w:p>
    <w:p/>
    <w:p>
      <w:pPr>
        <w:pStyle w:val="Heading2"/>
      </w:pPr>
      <w:r>
        <w:t>Introduction</w:t>
      </w:r>
    </w:p>
    <w:p/>
    <w:p>
      <w:r>
        <w:t>In light of the updated CARB ZEV 2025 reporting requirements, it is vital for Elexion Automotive to ensure complete compliance. This document aims to evaluate potential gaps in our current compliance status and recommend strategic initiatives to address them. As a leader in EV technology, adherence to these standards is not just a regulatory requirement but also a demonstration of our commitment to sustainable innovation.</w:t>
      </w:r>
    </w:p>
    <w:p/>
    <w:p>
      <w:pPr>
        <w:pStyle w:val="Heading2"/>
      </w:pPr>
      <w:r>
        <w:t>Current State of Elexion's Regulatory Compliance</w:t>
      </w:r>
    </w:p>
    <w:p/>
    <w:p>
      <w:r>
        <w:t>Elexion has always been at the forefront of maintaining regulatory compliance, with a dedicated team that ensures our operations align with industry standards. Last quarter, we successfully completed audits in three major jurisdictions, reinforcing our commitment to responsible business practices. In fact, our compliance rate has consistently been above 90% for the past five years.</w:t>
      </w:r>
    </w:p>
    <w:p/>
    <w:p>
      <w:pPr>
        <w:pStyle w:val="Heading2"/>
      </w:pPr>
      <w:r>
        <w:t>Strategic Initiatives for Compliance Gap Mitigation</w:t>
      </w:r>
    </w:p>
    <w:p/>
    <w:p>
      <w:r>
        <w:t>In terms of strategic initiatives, our approach to compliance gap mitigation involves continual monitoring of regulatory landscapes and proactive risk assessment. For instance, we have a quarterly review process where cross-departmental stakeholders evaluate potential regulatory risks and devise appropriate strategies. This ensures Elexion remains agile and ready to adapt to any changes in regulatory requirements.</w:t>
      </w:r>
    </w:p>
    <w:p/>
    <w:p>
      <w:pPr>
        <w:pStyle w:val="Heading2"/>
      </w:pPr>
      <w:r>
        <w:t>Changes in CARB ZEV 2025 Reporting Standards</w:t>
      </w:r>
    </w:p>
    <w:p/>
    <w:p>
      <w:r>
        <w:t>The analysis of Elexion's remote diagnostic error logs reveals a concerning trend. A significant portion, approximately 35%, of our service tickets required escalation due to lack of comprehensive troubleshooting prior to service center visits. This inefficiency may hinder our ability to meet the upcoming CARB ZEV 2025 reporting requirements, particularly in the areas of vehicle health check and maintenance records. To rectify this, we may need to enhance our pre-visit troubleshooting efforts, possibly by adopting remote triage and over-the-air (OTA) health checks strategies that have proven effective in reducing repair center visits by 25% among our competitors.</w:t>
      </w:r>
    </w:p>
    <w:p/>
    <w:p>
      <w:pPr>
        <w:pStyle w:val="Heading2"/>
      </w:pPr>
      <w:r>
        <w:t>Conclusion</w:t>
      </w:r>
    </w:p>
    <w:p/>
    <w:p>
      <w:r>
        <w:t>The analysis reveals areas where Elexion needs to enhance its compliance to meet the updated CARB ZEV 2025 standards. Proactive steps, as suggested in the strategic initiatives, can help us address these gaps effectively. It's crucial that we action these initiatives promptly to maintain our industry standing and continue delivering high-quality, sustainable products. Let's work together to meet this challenge and reinforce Elexion's commitment to a sustainable future.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