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CARB ZEV 2025 Compliance Analysis</w:t>
      </w:r>
    </w:p>
    <w:p/>
    <w:p>
      <w:pPr>
        <w:pStyle w:val="Heading2"/>
      </w:pPr>
      <w:r>
        <w:t>Introduction</w:t>
      </w:r>
    </w:p>
    <w:p/>
    <w:p>
      <w:r>
        <w:t>As Elexion Automotive moves forward in the rapidly evolving EV market, it is critical to understand and address any compliance gaps related to the updated CARB ZEV 2025 reporting requirements. The purpose of this document is to identify potential areas of non-compliance, evaluate their impact, and recommend strategies to ensure regulatory adherence. This analysis will inform our competitive intelligence strategies and assist in business decision-making.</w:t>
      </w:r>
    </w:p>
    <w:p/>
    <w:p>
      <w:pPr>
        <w:pStyle w:val="Heading2"/>
      </w:pPr>
      <w:r>
        <w:t>Review of Current Compliance Status</w:t>
      </w:r>
    </w:p>
    <w:p/>
    <w:p>
      <w:r>
        <w:t>Our internal review has exposed some deficiencies in Elexion's compliance with updated CARB ZEV 2025 reporting requirements. Notably, there seems to be a gap in the timestamp verification process for our battery traceability reports. This lapse has been traced back to approximately 18% of our Vehicle Identification Number (VIN) batches. It is evident that we need to address this issue promptly to ensure full compliance and avoid potential regulatory penalties.</w:t>
      </w:r>
    </w:p>
    <w:p/>
    <w:p>
      <w:pPr>
        <w:pStyle w:val="Heading2"/>
      </w:pPr>
      <w:r>
        <w:t>Implications of Non-compliance to Business Strategy</w:t>
      </w:r>
    </w:p>
    <w:p/>
    <w:p>
      <w:r>
        <w:t>In the event of non-compliance with any regulatory standards, Elexion's reputation for being a technology-forward EV manufacturer could be at risk. This could potentially impact our stock value and investor confidence. The Sales and Marketing department is developing a crisis management plan to address such scenarios.</w:t>
      </w:r>
    </w:p>
    <w:p/>
    <w:p>
      <w:pPr>
        <w:pStyle w:val="Heading2"/>
      </w:pPr>
      <w:r>
        <w:t>Recommendations for Addressing Identified Compliance Gaps</w:t>
      </w:r>
    </w:p>
    <w:p/>
    <w:p>
      <w:r>
        <w:t>Employee training programs for manufacturing and quality assurance teams have proven beneficial in reducing compliance gaps in the past. We recommend an increased budget allocation for these programs in the next fiscal year. This investment will help maintain high-quality production standards and reduce potential non-compliance risks.</w:t>
      </w:r>
    </w:p>
    <w:p/>
    <w:p>
      <w:pPr>
        <w:pStyle w:val="Heading2"/>
      </w:pPr>
      <w:r>
        <w:t>Conclusion</w:t>
      </w:r>
    </w:p>
    <w:p/>
    <w:p>
      <w:r>
        <w:t>The analysis has highlighted specific areas where Elexion needs to focus to meet the updated CARB ZEV 2025 standards. Addressing these compliance gaps is not only essential for regulatory adherence but also for maintaining our competitive position in the EV market. I recommend immediate action to address the identified gaps, including revising certain operational strategies. Further, it's recommended to incorporate regular compliance reviews into our business processes to preemptively manage potential risks.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