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CARB ZEV 2025 Compliance Gap Analysis</w:t>
      </w:r>
    </w:p>
    <w:p/>
    <w:p>
      <w:pPr>
        <w:pStyle w:val="Heading2"/>
      </w:pPr>
      <w:r>
        <w:t>Introduction</w:t>
      </w:r>
    </w:p>
    <w:p/>
    <w:p>
      <w:r>
        <w:t>As Elexion Automotive continues to innovate within the electric vehicle market, it is vital that we remain up-to-date with evolving regulatory landscapes. The California Air Resources Board's Zero Emission Vehicle (CARB ZEV) standards for 2025 pose new challenges and opportunities. This document presents a comprehensive analysis of Elexion's current compliance status, identifying areas of concern and potential improvements. The goal is to inform strategic decisions that will align our products with these standards while maintaining our competitive edge.</w:t>
      </w:r>
    </w:p>
    <w:p/>
    <w:p>
      <w:pPr>
        <w:pStyle w:val="Heading2"/>
      </w:pPr>
      <w:r>
        <w:t>Overview of Current CARB ZEV Compliant Features</w:t>
      </w:r>
    </w:p>
    <w:p/>
    <w:p>
      <w:r>
        <w:t>Our market analysis highlights a promising trend in geographical markets, specifically Colorado and Arizona, where there has been a significant surge in interest for our mid-range electric vehicles. This surge has been quantified as a 12 to 15 percent YoY increase in inquiries, underscoring the potential for market expansion in these regions. These numbers underscore the importance of ensuring our vehicles meet the CARB ZEV 2025 compliance standards, as these markets represent a significant growth opportunity for Elexion. Our CARB ZEV compliant features must be tailored to meet the evolving regulations and customer expectations in these rapidly growing markets.</w:t>
      </w:r>
    </w:p>
    <w:p/>
    <w:p>
      <w:pPr>
        <w:pStyle w:val="Heading2"/>
      </w:pPr>
      <w:r>
        <w:t>Analysis of Elexion's Potential Compliance Risk Areas</w:t>
      </w:r>
    </w:p>
    <w:p/>
    <w:p>
      <w:r>
        <w:t>While Elexion's current focus lies in expanding its product line, potential compliance risks should not be underestimated. In 2018, a change in federal regulations resulted in a $2M penalty for a major EV competitor. Although Elexion's compliance team constantly monitors regulatory changes, it's important to have a proactive approach towards risk management.</w:t>
      </w:r>
    </w:p>
    <w:p/>
    <w:p>
      <w:pPr>
        <w:pStyle w:val="Heading2"/>
      </w:pPr>
      <w:r>
        <w:t>Recommendations for Addressing Compliance Gaps</w:t>
      </w:r>
    </w:p>
    <w:p/>
    <w:p>
      <w:r>
        <w:t>Continuing advancements in EV technology necessitate an agile approach to compliance. Elexion must maintain regular communication with relevant regulatory bodies, ensuring our practices align with their requirements. Additionally, cross-functional collaboration between our engineering and compliance departments can foster a proactive approach to regulatory changes.</w:t>
      </w:r>
    </w:p>
    <w:p/>
    <w:p>
      <w:pPr>
        <w:pStyle w:val="Heading2"/>
      </w:pPr>
      <w:r>
        <w:t>Conclusion</w:t>
      </w:r>
    </w:p>
    <w:p/>
    <w:p>
      <w:r>
        <w:t>Elexion needs to address several key areas to meet the updated CARB ZEV 2025 requirements. By proactively identifying and addressing these gaps, we can ensure Elexion remains compliant and competitive. The recommendations provided will help guide our strategic decisions and product development efforts. Continuous monitoring and adjustment of our compliance strategy is vital to meet the evolving regulatory requirements.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