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MediConn Patient Engagement Report</w:t>
      </w:r>
    </w:p>
    <w:p/>
    <w:p>
      <w:pPr>
        <w:pStyle w:val="Heading2"/>
      </w:pPr>
      <w:r>
        <w:t>Introduction</w:t>
      </w:r>
    </w:p>
    <w:p/>
    <w:p>
      <w:r>
        <w:t>This report provides a comprehensive analysis of patient engagement metrics for MediConn Solutions in 2024. It is designed to offer valuable insights into our patient base, shed light on our service utilization patterns, and support strategic decision-making. Our focus is to understand the overall patient interaction with our virtual healthcare services during the mentioned period.</w:t>
      </w:r>
    </w:p>
    <w:p/>
    <w:p>
      <w:pPr>
        <w:pStyle w:val="Heading2"/>
      </w:pPr>
      <w:r>
        <w:t>Analysis of Patient Demographics</w:t>
      </w:r>
    </w:p>
    <w:p/>
    <w:p>
      <w:r>
        <w:t>Our patient population in 2024 was diverse, spanning various age groups and geographical locations. Over 65% of our patients were aged between 20 and 50, reflecting the tech-savvy nature of this demographic. Additionally, approximately 70% of our patients were situated in urban areas, leveraging our services for convenience amidst their busy lifestyles.</w:t>
      </w:r>
    </w:p>
    <w:p/>
    <w:p>
      <w:pPr>
        <w:pStyle w:val="Heading2"/>
      </w:pPr>
      <w:r>
        <w:t>2024 Appointment Statistics and Trends</w:t>
      </w:r>
    </w:p>
    <w:p/>
    <w:p>
      <w:r>
        <w:t>In 2024, we noticed an interesting trend in the timing of appointments. The majority of our patients preferred to book their appointments in the late afternoon, with 3 pm to 6 pm being the peak hours. We also noticed a surge in the number of appointments booked on Tuesdays and Wednesdays compared to the rest of the week.</w:t>
      </w:r>
    </w:p>
    <w:p/>
    <w:p>
      <w:pPr>
        <w:pStyle w:val="Heading2"/>
      </w:pPr>
      <w:r>
        <w:t>Impact of Patient Engagement on Revenue</w:t>
      </w:r>
    </w:p>
    <w:p/>
    <w:p>
      <w:r>
        <w:t>The correlation between patient engagement and revenue in 2024 was evident. We found that the more engaged the patients were in using our services, the higher the revenue we generated. For instance, patients who used our services more than twice a month contributed to over 70% of our total revenue.</w:t>
      </w:r>
    </w:p>
    <w:p/>
    <w:p>
      <w:pPr>
        <w:pStyle w:val="Heading2"/>
      </w:pPr>
      <w:r>
        <w:t>Conclusion</w:t>
      </w:r>
    </w:p>
    <w:p/>
    <w:p>
      <w:r>
        <w:t>The insights drawn from this report offer a clear understanding of MediConn's patient engagement in 2024. Patient demographics and appointment statistics provide valuable context for our service utilization. The correlation between patient engagement and revenue underscores the importance of maintaining high levels of patient interaction. Going forward, these insights should inform our strategic planning and resource allocation.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